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49" w:rsidRPr="00C8730B" w:rsidRDefault="006C4A49" w:rsidP="006C4A49">
      <w:bookmarkStart w:id="0" w:name="_GoBack"/>
      <w:bookmarkEnd w:id="0"/>
      <w:r w:rsidRPr="00C8730B">
        <w:rPr>
          <w:b/>
          <w:bCs/>
          <w:u w:val="single"/>
        </w:rPr>
        <w:t>Attendees</w:t>
      </w:r>
    </w:p>
    <w:p w:rsidR="006C4A49" w:rsidRPr="00C8730B" w:rsidRDefault="006C4A49" w:rsidP="006C4A49">
      <w:pPr>
        <w:numPr>
          <w:ilvl w:val="0"/>
          <w:numId w:val="14"/>
        </w:numPr>
        <w:ind w:left="720" w:hanging="360"/>
        <w:textAlignment w:val="center"/>
      </w:pPr>
      <w:r w:rsidRPr="00C8730B">
        <w:t>MC&amp;FP</w:t>
      </w:r>
    </w:p>
    <w:p w:rsidR="006C4A49" w:rsidRPr="00C8730B" w:rsidRDefault="00C42D83" w:rsidP="006C4A49">
      <w:pPr>
        <w:numPr>
          <w:ilvl w:val="1"/>
          <w:numId w:val="14"/>
        </w:numPr>
        <w:textAlignment w:val="center"/>
      </w:pPr>
      <w:r>
        <w:t>Justin Hall, M</w:t>
      </w:r>
      <w:r w:rsidR="00E649CE">
        <w:t>ike Curtis</w:t>
      </w:r>
    </w:p>
    <w:p w:rsidR="006C4A49" w:rsidRPr="00C8730B" w:rsidRDefault="006C4A49" w:rsidP="006C4A49">
      <w:pPr>
        <w:numPr>
          <w:ilvl w:val="0"/>
          <w:numId w:val="14"/>
        </w:numPr>
        <w:ind w:left="720" w:hanging="360"/>
        <w:textAlignment w:val="center"/>
      </w:pPr>
      <w:r w:rsidRPr="00C8730B">
        <w:t xml:space="preserve">DFAS – Indianapolis </w:t>
      </w:r>
    </w:p>
    <w:p w:rsidR="006C4A49" w:rsidRPr="00C8730B" w:rsidRDefault="00E649CE" w:rsidP="006C4A49">
      <w:pPr>
        <w:numPr>
          <w:ilvl w:val="1"/>
          <w:numId w:val="14"/>
        </w:numPr>
        <w:textAlignment w:val="center"/>
      </w:pPr>
      <w:r>
        <w:t xml:space="preserve">Maranda Summers, Jordan Jensen </w:t>
      </w:r>
      <w:r w:rsidR="00855FEF" w:rsidRPr="00C8730B">
        <w:t xml:space="preserve"> </w:t>
      </w:r>
    </w:p>
    <w:p w:rsidR="006C4A49" w:rsidRPr="00C8730B" w:rsidRDefault="006C4A49" w:rsidP="006C4A49">
      <w:pPr>
        <w:numPr>
          <w:ilvl w:val="0"/>
          <w:numId w:val="14"/>
        </w:numPr>
        <w:ind w:left="720" w:hanging="360"/>
        <w:textAlignment w:val="center"/>
      </w:pPr>
      <w:r w:rsidRPr="00C8730B">
        <w:t>Army IMCOM G9</w:t>
      </w:r>
    </w:p>
    <w:p w:rsidR="006C4A49" w:rsidRPr="00C8730B" w:rsidRDefault="006C4A49" w:rsidP="006C4A49">
      <w:pPr>
        <w:numPr>
          <w:ilvl w:val="1"/>
          <w:numId w:val="14"/>
        </w:numPr>
        <w:textAlignment w:val="center"/>
      </w:pPr>
      <w:r w:rsidRPr="00C8730B">
        <w:t>Sonia Daugherty</w:t>
      </w:r>
    </w:p>
    <w:p w:rsidR="006C4A49" w:rsidRPr="00C8730B" w:rsidRDefault="006C4A49" w:rsidP="006C4A49">
      <w:pPr>
        <w:numPr>
          <w:ilvl w:val="0"/>
          <w:numId w:val="14"/>
        </w:numPr>
        <w:ind w:left="720" w:hanging="360"/>
        <w:textAlignment w:val="center"/>
      </w:pPr>
      <w:r w:rsidRPr="00C8730B">
        <w:t>Air Force A-1</w:t>
      </w:r>
    </w:p>
    <w:p w:rsidR="006C4A49" w:rsidRPr="00C8730B" w:rsidRDefault="007C2BAC" w:rsidP="006C4A49">
      <w:pPr>
        <w:numPr>
          <w:ilvl w:val="1"/>
          <w:numId w:val="14"/>
        </w:numPr>
        <w:textAlignment w:val="center"/>
      </w:pPr>
      <w:r>
        <w:t>Mike Coltrin</w:t>
      </w:r>
    </w:p>
    <w:p w:rsidR="006C4A49" w:rsidRPr="00C8730B" w:rsidRDefault="006C4A49" w:rsidP="006C4A49">
      <w:pPr>
        <w:numPr>
          <w:ilvl w:val="0"/>
          <w:numId w:val="14"/>
        </w:numPr>
        <w:ind w:left="720" w:hanging="360"/>
        <w:textAlignment w:val="center"/>
      </w:pPr>
      <w:r w:rsidRPr="00C8730B">
        <w:t>AFSVA</w:t>
      </w:r>
      <w:r w:rsidR="007C2BAC">
        <w:t xml:space="preserve"> FMAR</w:t>
      </w:r>
    </w:p>
    <w:p w:rsidR="006C4A49" w:rsidRPr="00C8730B" w:rsidRDefault="007C2BAC" w:rsidP="006C4A49">
      <w:pPr>
        <w:numPr>
          <w:ilvl w:val="1"/>
          <w:numId w:val="14"/>
        </w:numPr>
        <w:textAlignment w:val="center"/>
      </w:pPr>
      <w:r>
        <w:t>Tom Marsh</w:t>
      </w:r>
      <w:r w:rsidR="003445A0" w:rsidRPr="00C8730B">
        <w:t>, Connie Lipko, Marcus Whitehead,</w:t>
      </w:r>
      <w:r>
        <w:t xml:space="preserve"> Becky Ka</w:t>
      </w:r>
      <w:r w:rsidR="00EB0C39">
        <w:t>rna</w:t>
      </w:r>
      <w:r>
        <w:t xml:space="preserve">fel, </w:t>
      </w:r>
      <w:r w:rsidR="00EB0C39">
        <w:t>Stephen Holekamp</w:t>
      </w:r>
    </w:p>
    <w:p w:rsidR="006C4A49" w:rsidRPr="00C8730B" w:rsidRDefault="00C42D83" w:rsidP="006C4A49">
      <w:pPr>
        <w:numPr>
          <w:ilvl w:val="0"/>
          <w:numId w:val="14"/>
        </w:numPr>
        <w:ind w:left="720" w:hanging="360"/>
        <w:textAlignment w:val="center"/>
      </w:pPr>
      <w:r>
        <w:t xml:space="preserve">Marine Corps – </w:t>
      </w:r>
      <w:r w:rsidR="006C4A49" w:rsidRPr="00C8730B">
        <w:t xml:space="preserve">MCCS </w:t>
      </w:r>
    </w:p>
    <w:p w:rsidR="006C4A49" w:rsidRPr="00C8730B" w:rsidRDefault="006C4A49" w:rsidP="006C4A49">
      <w:pPr>
        <w:numPr>
          <w:ilvl w:val="1"/>
          <w:numId w:val="14"/>
        </w:numPr>
        <w:textAlignment w:val="center"/>
      </w:pPr>
      <w:r w:rsidRPr="00C8730B">
        <w:t>Pat Craddock, Courtney Pulis</w:t>
      </w:r>
    </w:p>
    <w:p w:rsidR="006C4A49" w:rsidRPr="00C8730B" w:rsidRDefault="006C4A49" w:rsidP="006C4A49">
      <w:pPr>
        <w:numPr>
          <w:ilvl w:val="0"/>
          <w:numId w:val="14"/>
        </w:numPr>
        <w:ind w:left="720" w:hanging="360"/>
        <w:textAlignment w:val="center"/>
      </w:pPr>
      <w:r w:rsidRPr="00C8730B">
        <w:t xml:space="preserve">Army – DFAS – Texarkana </w:t>
      </w:r>
    </w:p>
    <w:p w:rsidR="006C4A49" w:rsidRPr="00C8730B" w:rsidRDefault="006C4A49" w:rsidP="006C4A49">
      <w:pPr>
        <w:numPr>
          <w:ilvl w:val="1"/>
          <w:numId w:val="14"/>
        </w:numPr>
        <w:textAlignment w:val="center"/>
      </w:pPr>
      <w:r w:rsidRPr="00C8730B">
        <w:t>Lena Ande</w:t>
      </w:r>
      <w:r w:rsidR="007C2BAC">
        <w:t>rson</w:t>
      </w:r>
    </w:p>
    <w:p w:rsidR="006C4A49" w:rsidRPr="00C8730B" w:rsidRDefault="006C4A49" w:rsidP="006C4A49">
      <w:pPr>
        <w:numPr>
          <w:ilvl w:val="0"/>
          <w:numId w:val="14"/>
        </w:numPr>
        <w:ind w:left="720" w:hanging="360"/>
        <w:textAlignment w:val="center"/>
      </w:pPr>
      <w:r w:rsidRPr="00C8730B">
        <w:t xml:space="preserve">Navy CNIC    </w:t>
      </w:r>
    </w:p>
    <w:p w:rsidR="006C4A49" w:rsidRPr="00C8730B" w:rsidRDefault="006C4A49" w:rsidP="006C4A49">
      <w:pPr>
        <w:numPr>
          <w:ilvl w:val="1"/>
          <w:numId w:val="14"/>
        </w:numPr>
        <w:textAlignment w:val="center"/>
      </w:pPr>
      <w:r w:rsidRPr="00C8730B">
        <w:t>Na</w:t>
      </w:r>
      <w:r w:rsidR="007C2BAC">
        <w:t xml:space="preserve">ncy Stephens, Jeff Potter </w:t>
      </w:r>
    </w:p>
    <w:p w:rsidR="006C4A49" w:rsidRPr="00C8730B" w:rsidRDefault="006C4A49" w:rsidP="00C42D83">
      <w:pPr>
        <w:pStyle w:val="ListParagraph"/>
        <w:numPr>
          <w:ilvl w:val="0"/>
          <w:numId w:val="14"/>
        </w:numPr>
        <w:ind w:left="720" w:hanging="360"/>
        <w:textAlignment w:val="center"/>
      </w:pPr>
      <w:r w:rsidRPr="00C8730B">
        <w:t xml:space="preserve">Navy OPNAV N462B </w:t>
      </w:r>
    </w:p>
    <w:p w:rsidR="006C4A49" w:rsidRPr="00C8730B" w:rsidRDefault="006C4A49" w:rsidP="006C4A49">
      <w:pPr>
        <w:pStyle w:val="ListParagraph"/>
        <w:numPr>
          <w:ilvl w:val="1"/>
          <w:numId w:val="14"/>
        </w:numPr>
        <w:textAlignment w:val="center"/>
      </w:pPr>
      <w:r w:rsidRPr="00C8730B">
        <w:t xml:space="preserve">Annie Fowler  </w:t>
      </w:r>
    </w:p>
    <w:p w:rsidR="006C4A49" w:rsidRPr="00C8730B" w:rsidRDefault="006C4A49" w:rsidP="00C42D83">
      <w:pPr>
        <w:pStyle w:val="ListParagraph"/>
        <w:numPr>
          <w:ilvl w:val="0"/>
          <w:numId w:val="14"/>
        </w:numPr>
        <w:ind w:left="720" w:hanging="360"/>
        <w:textAlignment w:val="center"/>
      </w:pPr>
      <w:r w:rsidRPr="00C8730B">
        <w:t>Air Force Secretariat SAF-MRR</w:t>
      </w:r>
    </w:p>
    <w:p w:rsidR="006C4A49" w:rsidRDefault="006C4A49" w:rsidP="006C4A49">
      <w:pPr>
        <w:pStyle w:val="ListParagraph"/>
        <w:numPr>
          <w:ilvl w:val="1"/>
          <w:numId w:val="14"/>
        </w:numPr>
        <w:textAlignment w:val="center"/>
      </w:pPr>
      <w:r w:rsidRPr="00C8730B">
        <w:t xml:space="preserve">Lt. Col. Carina Harrison </w:t>
      </w:r>
    </w:p>
    <w:p w:rsidR="007C2BAC" w:rsidRPr="00C8730B" w:rsidRDefault="007C2BAC" w:rsidP="00C42D83">
      <w:pPr>
        <w:pStyle w:val="ListParagraph"/>
        <w:numPr>
          <w:ilvl w:val="0"/>
          <w:numId w:val="14"/>
        </w:numPr>
        <w:ind w:left="720" w:hanging="360"/>
        <w:textAlignment w:val="center"/>
      </w:pPr>
      <w:r>
        <w:t>Army Secretariat SAMR-MQ</w:t>
      </w:r>
    </w:p>
    <w:p w:rsidR="007C2BAC" w:rsidRPr="00C8730B" w:rsidRDefault="007C2BAC" w:rsidP="007C2BAC">
      <w:pPr>
        <w:pStyle w:val="ListParagraph"/>
        <w:numPr>
          <w:ilvl w:val="1"/>
          <w:numId w:val="14"/>
        </w:numPr>
        <w:textAlignment w:val="center"/>
      </w:pPr>
      <w:r>
        <w:t>Coleen Amstein, Eric Alberts</w:t>
      </w:r>
    </w:p>
    <w:p w:rsidR="006C4A49" w:rsidRPr="00C8730B" w:rsidRDefault="006C4A49" w:rsidP="006C4A49">
      <w:pPr>
        <w:numPr>
          <w:ilvl w:val="0"/>
          <w:numId w:val="14"/>
        </w:numPr>
        <w:ind w:left="720" w:hanging="360"/>
        <w:textAlignment w:val="center"/>
      </w:pPr>
      <w:r w:rsidRPr="00C8730B">
        <w:t>Grant Thornton (GT)</w:t>
      </w:r>
    </w:p>
    <w:p w:rsidR="006C4A49" w:rsidRPr="00C8730B" w:rsidRDefault="006C4A49" w:rsidP="006C4A49">
      <w:pPr>
        <w:numPr>
          <w:ilvl w:val="1"/>
          <w:numId w:val="14"/>
        </w:numPr>
        <w:textAlignment w:val="center"/>
      </w:pPr>
      <w:r w:rsidRPr="00C8730B">
        <w:t xml:space="preserve">Jeremy Blain, Ariane Whittemore, Mary Saldivar, Sumner Higginbotham, Vishal Ayyagari </w:t>
      </w:r>
    </w:p>
    <w:p w:rsidR="006C4A49" w:rsidRPr="00C8730B" w:rsidRDefault="006C4A49" w:rsidP="007D7EB2">
      <w:pPr>
        <w:rPr>
          <w:b/>
          <w:color w:val="FF0000"/>
          <w:u w:val="single"/>
        </w:rPr>
      </w:pPr>
    </w:p>
    <w:p w:rsidR="007D7EB2" w:rsidRPr="00C8730B" w:rsidRDefault="004177D5" w:rsidP="00A74D9A">
      <w:pPr>
        <w:rPr>
          <w:b/>
          <w:u w:val="single"/>
        </w:rPr>
      </w:pPr>
      <w:r>
        <w:rPr>
          <w:b/>
          <w:u w:val="single"/>
        </w:rPr>
        <w:t>Welcome and Introductions – Mr. Mike Curtis</w:t>
      </w:r>
      <w:r w:rsidR="007D7EB2" w:rsidRPr="00C8730B">
        <w:rPr>
          <w:b/>
          <w:u w:val="single"/>
        </w:rPr>
        <w:t>, MWR &amp; Resale Policy</w:t>
      </w:r>
    </w:p>
    <w:p w:rsidR="002068BC" w:rsidRPr="00C8730B" w:rsidRDefault="004177D5" w:rsidP="002068BC">
      <w:pPr>
        <w:pStyle w:val="ListParagraph"/>
        <w:numPr>
          <w:ilvl w:val="0"/>
          <w:numId w:val="16"/>
        </w:numPr>
        <w:rPr>
          <w:b/>
          <w:u w:val="single"/>
        </w:rPr>
      </w:pPr>
      <w:r>
        <w:t>Mr</w:t>
      </w:r>
      <w:r w:rsidR="00A74D9A" w:rsidRPr="00C8730B">
        <w:t xml:space="preserve">. </w:t>
      </w:r>
      <w:r>
        <w:t>Mike Curtis</w:t>
      </w:r>
      <w:r w:rsidR="00A74D9A" w:rsidRPr="00C8730B">
        <w:t xml:space="preserve"> welcomed everyone, acknowledged that all the </w:t>
      </w:r>
      <w:r w:rsidR="00752F8B" w:rsidRPr="00C8730B">
        <w:t>S</w:t>
      </w:r>
      <w:r w:rsidR="00A74D9A" w:rsidRPr="00C8730B">
        <w:t xml:space="preserve">ervices were present and thanked everyone for participating. </w:t>
      </w:r>
    </w:p>
    <w:p w:rsidR="007D7EB2" w:rsidRPr="00C8730B" w:rsidRDefault="007D7EB2" w:rsidP="007D7EB2">
      <w:pPr>
        <w:rPr>
          <w:b/>
          <w:bCs/>
        </w:rPr>
      </w:pPr>
    </w:p>
    <w:p w:rsidR="007D7EB2" w:rsidRPr="00C8730B" w:rsidRDefault="007D7EB2" w:rsidP="002068BC">
      <w:pPr>
        <w:rPr>
          <w:b/>
          <w:u w:val="single"/>
        </w:rPr>
      </w:pPr>
      <w:r w:rsidRPr="00C8730B">
        <w:rPr>
          <w:b/>
          <w:u w:val="single"/>
        </w:rPr>
        <w:t xml:space="preserve">OSD Update – </w:t>
      </w:r>
      <w:r w:rsidR="004177D5">
        <w:rPr>
          <w:b/>
          <w:u w:val="single"/>
        </w:rPr>
        <w:t>Mr. Mike Curtis</w:t>
      </w:r>
      <w:r w:rsidRPr="00C8730B">
        <w:rPr>
          <w:b/>
          <w:u w:val="single"/>
        </w:rPr>
        <w:t>, MWR &amp; Resale Policy</w:t>
      </w:r>
    </w:p>
    <w:p w:rsidR="00B44F95" w:rsidRPr="00C8730B" w:rsidRDefault="003358B9" w:rsidP="009F2597">
      <w:pPr>
        <w:pStyle w:val="ListParagraph"/>
        <w:numPr>
          <w:ilvl w:val="0"/>
          <w:numId w:val="16"/>
        </w:numPr>
      </w:pPr>
      <w:r>
        <w:t>Mr. Mike Curtis</w:t>
      </w:r>
      <w:r w:rsidR="00B44F95" w:rsidRPr="00C8730B">
        <w:t xml:space="preserve"> star</w:t>
      </w:r>
      <w:r>
        <w:t>ted out the discussion by reminding the services of the previously emailed position papers.</w:t>
      </w:r>
      <w:r w:rsidR="00FE5485">
        <w:t xml:space="preserve">  </w:t>
      </w:r>
      <w:r w:rsidR="00C07EF9">
        <w:t>Mr. Curtis informed the services that if they had any comments or concerns about the emailed position papers, to please contact him. Mr. Curtis also stated that if no response was received from the services, that a concurrence regarding the topics would be assumed.</w:t>
      </w:r>
      <w:r w:rsidR="00FE5485">
        <w:t xml:space="preserve">  T</w:t>
      </w:r>
      <w:r w:rsidR="00C07EF9">
        <w:t>he next steps regarding the position</w:t>
      </w:r>
      <w:r w:rsidR="00C5527C">
        <w:t xml:space="preserve">s papers would be to adjust </w:t>
      </w:r>
      <w:r w:rsidR="00C07EF9">
        <w:t>DoDI</w:t>
      </w:r>
      <w:r w:rsidR="00C5527C">
        <w:t xml:space="preserve"> 1015.15</w:t>
      </w:r>
      <w:r w:rsidR="00C07EF9">
        <w:t>, NAFSGL, or FMR</w:t>
      </w:r>
      <w:r w:rsidR="00FE5485">
        <w:t>,</w:t>
      </w:r>
      <w:r w:rsidR="00C07EF9">
        <w:t xml:space="preserve"> where appropriate</w:t>
      </w:r>
      <w:r w:rsidR="000D4317">
        <w:t>.</w:t>
      </w:r>
    </w:p>
    <w:p w:rsidR="00D73545" w:rsidRPr="00725D4E" w:rsidRDefault="00D73545" w:rsidP="00FE5485">
      <w:pPr>
        <w:numPr>
          <w:ilvl w:val="0"/>
          <w:numId w:val="1"/>
        </w:numPr>
      </w:pPr>
      <w:r w:rsidRPr="00725D4E">
        <w:t>Mr</w:t>
      </w:r>
      <w:r w:rsidR="00D6453A" w:rsidRPr="00725D4E">
        <w:t>.</w:t>
      </w:r>
      <w:r w:rsidR="00B44F95" w:rsidRPr="00725D4E">
        <w:t xml:space="preserve"> </w:t>
      </w:r>
      <w:r w:rsidRPr="00725D4E">
        <w:t>Mike Curtis then provided the services with more information regarding the American Travel Leisure Program</w:t>
      </w:r>
      <w:r w:rsidR="00E36C24" w:rsidRPr="00725D4E">
        <w:t xml:space="preserve"> (previously Joint Travel Leisure Program). </w:t>
      </w:r>
      <w:r w:rsidRPr="00725D4E">
        <w:t xml:space="preserve">Mr. Curtis is proposing a new activity </w:t>
      </w:r>
      <w:r w:rsidR="00751A00">
        <w:t>for the</w:t>
      </w:r>
      <w:r w:rsidR="00751A00" w:rsidRPr="00751A00">
        <w:t xml:space="preserve"> </w:t>
      </w:r>
      <w:r w:rsidR="00751A00" w:rsidRPr="00725D4E">
        <w:t>American Travel Leisure Program</w:t>
      </w:r>
      <w:r w:rsidR="00751A00">
        <w:t xml:space="preserve"> </w:t>
      </w:r>
      <w:r w:rsidRPr="00725D4E">
        <w:t xml:space="preserve">that will </w:t>
      </w:r>
      <w:r w:rsidR="00751A00">
        <w:lastRenderedPageBreak/>
        <w:t>reflect the change in leisure travel program delivery</w:t>
      </w:r>
      <w:r w:rsidR="00E36C24" w:rsidRPr="00725D4E">
        <w:t xml:space="preserve">. </w:t>
      </w:r>
      <w:r w:rsidR="00FE5485">
        <w:t>The n</w:t>
      </w:r>
      <w:r w:rsidR="00751A00">
        <w:t>ew activity will be a CAT C activity.</w:t>
      </w:r>
    </w:p>
    <w:p w:rsidR="005573C6" w:rsidRDefault="005573C6" w:rsidP="00FE5485">
      <w:pPr>
        <w:numPr>
          <w:ilvl w:val="0"/>
          <w:numId w:val="1"/>
        </w:numPr>
      </w:pPr>
      <w:r>
        <w:t xml:space="preserve">Mr. Curtis then proceeded to discuss the </w:t>
      </w:r>
      <w:r w:rsidR="00FE5485">
        <w:t xml:space="preserve">MC&amp;FP </w:t>
      </w:r>
      <w:r>
        <w:t xml:space="preserve">Tableau Server page. </w:t>
      </w:r>
      <w:r w:rsidR="00FE5485">
        <w:t xml:space="preserve"> </w:t>
      </w:r>
      <w:r>
        <w:t xml:space="preserve">Mr. Curtis asked the services to </w:t>
      </w:r>
      <w:r w:rsidR="00751A00">
        <w:t xml:space="preserve">contact him if there were </w:t>
      </w:r>
      <w:r>
        <w:t xml:space="preserve">any problems accessing the Tableau Server page.   </w:t>
      </w:r>
    </w:p>
    <w:p w:rsidR="004F0206" w:rsidRPr="00C8730B" w:rsidRDefault="004F0206" w:rsidP="004F0206"/>
    <w:p w:rsidR="007D7EB2" w:rsidRPr="00C8730B" w:rsidRDefault="00002FE0" w:rsidP="004F0206">
      <w:pPr>
        <w:rPr>
          <w:b/>
          <w:u w:val="single"/>
        </w:rPr>
      </w:pPr>
      <w:r w:rsidRPr="00C8730B">
        <w:rPr>
          <w:b/>
          <w:u w:val="single"/>
        </w:rPr>
        <w:t xml:space="preserve">Position Paper </w:t>
      </w:r>
      <w:r w:rsidR="00196206" w:rsidRPr="00C8730B">
        <w:rPr>
          <w:b/>
          <w:u w:val="single"/>
        </w:rPr>
        <w:t xml:space="preserve">(PP) </w:t>
      </w:r>
      <w:r w:rsidRPr="00C8730B">
        <w:rPr>
          <w:b/>
          <w:u w:val="single"/>
        </w:rPr>
        <w:t>discussion</w:t>
      </w:r>
      <w:r w:rsidR="007D7EB2" w:rsidRPr="00C8730B">
        <w:rPr>
          <w:b/>
          <w:u w:val="single"/>
        </w:rPr>
        <w:t xml:space="preserve"> </w:t>
      </w:r>
      <w:r w:rsidRPr="00C8730B">
        <w:rPr>
          <w:b/>
          <w:u w:val="single"/>
        </w:rPr>
        <w:t>–</w:t>
      </w:r>
      <w:r w:rsidR="007D7EB2" w:rsidRPr="00C8730B">
        <w:rPr>
          <w:b/>
          <w:u w:val="single"/>
        </w:rPr>
        <w:t xml:space="preserve"> Mr. Jeremy Blain, Grant Thornton</w:t>
      </w:r>
      <w:r w:rsidR="004F0206" w:rsidRPr="00C8730B">
        <w:rPr>
          <w:b/>
          <w:u w:val="single"/>
        </w:rPr>
        <w:t xml:space="preserve"> </w:t>
      </w:r>
    </w:p>
    <w:p w:rsidR="008C42AB" w:rsidRPr="00C8730B" w:rsidRDefault="004F0206" w:rsidP="00FE5485">
      <w:pPr>
        <w:numPr>
          <w:ilvl w:val="0"/>
          <w:numId w:val="1"/>
        </w:numPr>
      </w:pPr>
      <w:r w:rsidRPr="00C8730B">
        <w:t>Mr. Blain noted that the goal of this review was to provide t</w:t>
      </w:r>
      <w:r w:rsidR="00FE5485">
        <w:t xml:space="preserve">he Working Group members an </w:t>
      </w:r>
      <w:r w:rsidRPr="00C8730B">
        <w:t>opportunity to comm</w:t>
      </w:r>
      <w:r w:rsidR="008C42AB" w:rsidRPr="00C8730B">
        <w:t xml:space="preserve">ent on these papers. </w:t>
      </w:r>
    </w:p>
    <w:p w:rsidR="001842B1" w:rsidRPr="00C8730B" w:rsidRDefault="004F0206" w:rsidP="001842B1">
      <w:pPr>
        <w:numPr>
          <w:ilvl w:val="0"/>
          <w:numId w:val="1"/>
        </w:numPr>
      </w:pPr>
      <w:r w:rsidRPr="00C8730B">
        <w:t xml:space="preserve">Mr. Blain began with </w:t>
      </w:r>
      <w:r w:rsidR="007D0F6E">
        <w:t>the Direct Overhead/Common Support Functions</w:t>
      </w:r>
      <w:r w:rsidR="001842B1" w:rsidRPr="00C8730B">
        <w:t xml:space="preserve"> paper</w:t>
      </w:r>
      <w:r w:rsidR="00243878">
        <w:t xml:space="preserve"> (PP#15)</w:t>
      </w:r>
      <w:r w:rsidR="001842B1" w:rsidRPr="00C8730B">
        <w:t xml:space="preserve">. </w:t>
      </w:r>
    </w:p>
    <w:p w:rsidR="001842B1" w:rsidRDefault="001842B1" w:rsidP="001842B1">
      <w:pPr>
        <w:numPr>
          <w:ilvl w:val="1"/>
          <w:numId w:val="1"/>
        </w:numPr>
      </w:pPr>
      <w:r w:rsidRPr="00C8730B">
        <w:t xml:space="preserve">The paper </w:t>
      </w:r>
      <w:r w:rsidR="00B20FCB">
        <w:t xml:space="preserve">recommends changing the DoDI 1015.15 and the FMR Volume 13 to allow allocation of installation administrative overhead costs to each program. </w:t>
      </w:r>
      <w:r w:rsidRPr="00C8730B">
        <w:t xml:space="preserve"> </w:t>
      </w:r>
    </w:p>
    <w:p w:rsidR="00AF0423" w:rsidRDefault="006E08DC" w:rsidP="00C42D83">
      <w:pPr>
        <w:numPr>
          <w:ilvl w:val="1"/>
          <w:numId w:val="1"/>
        </w:numPr>
      </w:pPr>
      <w:r w:rsidRPr="00C8730B">
        <w:t>M</w:t>
      </w:r>
      <w:r w:rsidR="00FE5485">
        <w:t xml:space="preserve">r. </w:t>
      </w:r>
      <w:r w:rsidR="00B20FCB">
        <w:t>Marsh</w:t>
      </w:r>
      <w:r w:rsidR="009B18D9">
        <w:t xml:space="preserve"> </w:t>
      </w:r>
      <w:r w:rsidR="00C42D83">
        <w:t>asked a clarifying question</w:t>
      </w:r>
      <w:r w:rsidR="00B20FCB">
        <w:t xml:space="preserve"> regardin</w:t>
      </w:r>
      <w:r w:rsidR="00252E14">
        <w:t xml:space="preserve">g the referencing </w:t>
      </w:r>
      <w:r w:rsidR="00120471">
        <w:t xml:space="preserve">of the phrase </w:t>
      </w:r>
      <w:r w:rsidR="00252E14">
        <w:t>“segments”</w:t>
      </w:r>
      <w:r w:rsidR="00120471">
        <w:t xml:space="preserve"> in the position paper. </w:t>
      </w:r>
      <w:r w:rsidR="00252E14">
        <w:t xml:space="preserve">Mr. Higginbotham explained that the “segments” </w:t>
      </w:r>
      <w:r w:rsidR="00120471">
        <w:t xml:space="preserve">wording </w:t>
      </w:r>
      <w:r w:rsidR="00252E14">
        <w:t>was ref</w:t>
      </w:r>
      <w:r w:rsidR="003A299C">
        <w:t>erring to the FMR Volume 4.  Mr. Higginbotham</w:t>
      </w:r>
      <w:r w:rsidR="00252E14">
        <w:t xml:space="preserve"> stated that the provision was not mentioned </w:t>
      </w:r>
      <w:r w:rsidR="00120471">
        <w:t xml:space="preserve">in the FMR </w:t>
      </w:r>
      <w:r w:rsidR="003A299C">
        <w:t xml:space="preserve">Volume 13.  </w:t>
      </w:r>
      <w:r w:rsidR="00AF0423">
        <w:t xml:space="preserve">Mr. Blain also answered Mr. Marsh’s question by stating that the segment is simply a business operation that is done on the APF level. </w:t>
      </w:r>
    </w:p>
    <w:p w:rsidR="00FF602C" w:rsidRDefault="00FE5485" w:rsidP="00C42D83">
      <w:pPr>
        <w:numPr>
          <w:ilvl w:val="1"/>
          <w:numId w:val="1"/>
        </w:numPr>
      </w:pPr>
      <w:r>
        <w:t xml:space="preserve">Mr. </w:t>
      </w:r>
      <w:r w:rsidR="00AF0423">
        <w:t xml:space="preserve">Whitehead </w:t>
      </w:r>
      <w:r w:rsidR="00C42D83">
        <w:t xml:space="preserve">asked about </w:t>
      </w:r>
      <w:r w:rsidR="003A299C">
        <w:t xml:space="preserve">the </w:t>
      </w:r>
      <w:r w:rsidR="00DC3BAB">
        <w:t>intent of</w:t>
      </w:r>
      <w:r w:rsidR="00AF0423">
        <w:t xml:space="preserve"> the paper. </w:t>
      </w:r>
      <w:r w:rsidR="00C42D83">
        <w:t xml:space="preserve"> </w:t>
      </w:r>
      <w:r w:rsidR="00AF0423">
        <w:t>Mr. Curti</w:t>
      </w:r>
      <w:r w:rsidR="003A299C">
        <w:t xml:space="preserve">s </w:t>
      </w:r>
      <w:r w:rsidR="00C42D83">
        <w:t>stated</w:t>
      </w:r>
      <w:r w:rsidR="00FF602C">
        <w:t xml:space="preserve"> that in almost every case, the overhead account tends to be the largest account. Mr. Curtis explained that this generally skews the analysis that </w:t>
      </w:r>
      <w:r w:rsidR="00C42D83">
        <w:t>is done for each activity.</w:t>
      </w:r>
      <w:r w:rsidR="00DC3BAB">
        <w:t xml:space="preserve"> </w:t>
      </w:r>
    </w:p>
    <w:p w:rsidR="00BC3BDA" w:rsidRDefault="00FE5485" w:rsidP="00C42D83">
      <w:pPr>
        <w:numPr>
          <w:ilvl w:val="1"/>
          <w:numId w:val="1"/>
        </w:numPr>
      </w:pPr>
      <w:r>
        <w:t xml:space="preserve">Ms. </w:t>
      </w:r>
      <w:r w:rsidR="00FF602C">
        <w:t>Stephens</w:t>
      </w:r>
      <w:r w:rsidR="00B76B42">
        <w:t xml:space="preserve"> </w:t>
      </w:r>
      <w:r w:rsidR="00DC3BAB">
        <w:t xml:space="preserve">asked </w:t>
      </w:r>
      <w:r w:rsidR="00FF602C">
        <w:t>whether the</w:t>
      </w:r>
      <w:r w:rsidR="00C42D83">
        <w:t xml:space="preserve"> </w:t>
      </w:r>
      <w:r w:rsidR="00FF602C">
        <w:t>overh</w:t>
      </w:r>
      <w:r w:rsidR="003A299C">
        <w:t>ead cost needs to be accounted for at the activity or</w:t>
      </w:r>
      <w:r w:rsidR="00BC3BDA">
        <w:t xml:space="preserve"> the installation level. Mr</w:t>
      </w:r>
      <w:r w:rsidR="003A299C">
        <w:t>. Blain clarified</w:t>
      </w:r>
      <w:r w:rsidR="00BC3BDA">
        <w:t xml:space="preserve"> </w:t>
      </w:r>
      <w:r w:rsidR="00C42D83">
        <w:t>the cost pooling would only be done at the activity level to improve analysis and comparability.</w:t>
      </w:r>
    </w:p>
    <w:p w:rsidR="003A3851" w:rsidRDefault="00066E59" w:rsidP="00C42D83">
      <w:pPr>
        <w:numPr>
          <w:ilvl w:val="1"/>
          <w:numId w:val="1"/>
        </w:numPr>
      </w:pPr>
      <w:r>
        <w:t>Ms</w:t>
      </w:r>
      <w:r w:rsidR="00FE5485">
        <w:t xml:space="preserve">. </w:t>
      </w:r>
      <w:r w:rsidR="00BC3BDA">
        <w:t>Craddock</w:t>
      </w:r>
      <w:r w:rsidR="00B76B42">
        <w:t xml:space="preserve"> </w:t>
      </w:r>
      <w:r w:rsidR="00BC3BDA">
        <w:t>is concerned with the</w:t>
      </w:r>
      <w:r w:rsidR="003A3851">
        <w:t xml:space="preserve"> common</w:t>
      </w:r>
      <w:r w:rsidR="00BC3BDA">
        <w:t xml:space="preserve"> support questions in the</w:t>
      </w:r>
      <w:r w:rsidR="003A3851">
        <w:t xml:space="preserve"> beginning of the paper, stating </w:t>
      </w:r>
      <w:r>
        <w:t xml:space="preserve">that there needs to be a definition </w:t>
      </w:r>
      <w:r w:rsidR="003A3851">
        <w:t xml:space="preserve">of common support. </w:t>
      </w:r>
      <w:r>
        <w:t>Ms</w:t>
      </w:r>
      <w:r w:rsidR="003A3851">
        <w:t>. Craddock provided janitorial, grass cutting services, and loss prevention as examples of activities that should be directly</w:t>
      </w:r>
      <w:r w:rsidR="00C42D83">
        <w:t xml:space="preserve"> charged to the activity</w:t>
      </w:r>
      <w:r w:rsidR="003A3851">
        <w:t xml:space="preserve"> rather than a common support program. The</w:t>
      </w:r>
      <w:r>
        <w:t xml:space="preserve"> Marine Corps is</w:t>
      </w:r>
      <w:r w:rsidR="003A3851">
        <w:t xml:space="preserve"> looking for a definition on </w:t>
      </w:r>
      <w:r w:rsidR="00DC3BAB">
        <w:t xml:space="preserve">whether </w:t>
      </w:r>
      <w:r w:rsidR="003A3851">
        <w:t>an</w:t>
      </w:r>
      <w:r>
        <w:t xml:space="preserve"> expense should be considered a</w:t>
      </w:r>
      <w:r w:rsidR="003A3851">
        <w:t xml:space="preserve"> </w:t>
      </w:r>
      <w:r>
        <w:t xml:space="preserve">common </w:t>
      </w:r>
      <w:r w:rsidR="003A3851">
        <w:t xml:space="preserve">overhead expense vs. a direct expense of a program. Mr. Blain explained that an ideal end state of the position paper would </w:t>
      </w:r>
      <w:r>
        <w:t xml:space="preserve">be a </w:t>
      </w:r>
      <w:r w:rsidR="003A3851">
        <w:t xml:space="preserve">list </w:t>
      </w:r>
      <w:r>
        <w:t>of common support/overhead costs.</w:t>
      </w:r>
      <w:r w:rsidR="00C42D83">
        <w:t xml:space="preserve"> </w:t>
      </w:r>
      <w:r w:rsidR="003A3851">
        <w:t xml:space="preserve">Mr. Curtis </w:t>
      </w:r>
      <w:r w:rsidR="00644420">
        <w:t>noted</w:t>
      </w:r>
      <w:r w:rsidR="00BC4B10">
        <w:t xml:space="preserve"> that the definition can be revised to allow for more feedback from the services. Since some services are more centralized than others, the team can discuss a definition that is acceptable for all. </w:t>
      </w:r>
    </w:p>
    <w:p w:rsidR="00BC4B10" w:rsidRDefault="00BC4B10" w:rsidP="00BC4B10">
      <w:pPr>
        <w:numPr>
          <w:ilvl w:val="1"/>
          <w:numId w:val="1"/>
        </w:numPr>
      </w:pPr>
      <w:r>
        <w:t>Ms. Stephens</w:t>
      </w:r>
      <w:r w:rsidR="00B76B42">
        <w:t xml:space="preserve"> </w:t>
      </w:r>
      <w:r>
        <w:t xml:space="preserve">voiced her concerns with the level of effort and cost benefit of the paper. </w:t>
      </w:r>
    </w:p>
    <w:p w:rsidR="00BC4B10" w:rsidRDefault="00FE5485" w:rsidP="00BC4B10">
      <w:pPr>
        <w:numPr>
          <w:ilvl w:val="1"/>
          <w:numId w:val="1"/>
        </w:numPr>
      </w:pPr>
      <w:r>
        <w:t xml:space="preserve">Ms. </w:t>
      </w:r>
      <w:r w:rsidR="00BC4B10">
        <w:t>Daugherty, also voiced their concerns for the level of effort and if it is really necessary to</w:t>
      </w:r>
      <w:r w:rsidR="009B18D9">
        <w:t xml:space="preserve"> allocate the costs to the activity</w:t>
      </w:r>
      <w:r w:rsidR="00BC4B10">
        <w:t xml:space="preserve">. </w:t>
      </w:r>
    </w:p>
    <w:p w:rsidR="00243878" w:rsidRDefault="00FE5485" w:rsidP="00BC4B10">
      <w:pPr>
        <w:numPr>
          <w:ilvl w:val="1"/>
          <w:numId w:val="1"/>
        </w:numPr>
      </w:pPr>
      <w:r>
        <w:lastRenderedPageBreak/>
        <w:t xml:space="preserve">Ms. </w:t>
      </w:r>
      <w:r w:rsidR="00BC4B10">
        <w:t>Whittemore</w:t>
      </w:r>
      <w:r w:rsidR="00B76B42">
        <w:t xml:space="preserve"> </w:t>
      </w:r>
      <w:r w:rsidR="00BC4B10">
        <w:t>reiterated to the services that the team will work on producing a definition that is acceptable with all</w:t>
      </w:r>
      <w:r w:rsidR="00DC3BAB">
        <w:t xml:space="preserve"> of</w:t>
      </w:r>
      <w:r w:rsidR="00066E59">
        <w:t xml:space="preserve"> the services. MC&amp;FP</w:t>
      </w:r>
      <w:r w:rsidR="00BC4B10">
        <w:t xml:space="preserve"> and </w:t>
      </w:r>
      <w:r w:rsidR="00066E59">
        <w:t xml:space="preserve">the </w:t>
      </w:r>
      <w:r w:rsidR="00BC4B10">
        <w:t>Grant Th</w:t>
      </w:r>
      <w:r w:rsidR="00066E59">
        <w:t>ornton team will develop and initial list of common support/overhead for review, modification and concurrence by the services.</w:t>
      </w:r>
    </w:p>
    <w:p w:rsidR="00243878" w:rsidRPr="00C8730B" w:rsidRDefault="00243878" w:rsidP="00243878">
      <w:pPr>
        <w:pStyle w:val="ListParagraph"/>
        <w:numPr>
          <w:ilvl w:val="0"/>
          <w:numId w:val="1"/>
        </w:numPr>
        <w:spacing w:after="160" w:line="259" w:lineRule="auto"/>
      </w:pPr>
      <w:r w:rsidRPr="00C8730B">
        <w:t xml:space="preserve">Mr. Blain then proceeded to </w:t>
      </w:r>
      <w:r w:rsidR="00B902CA">
        <w:t>the next paper</w:t>
      </w:r>
      <w:r w:rsidRPr="00C8730B">
        <w:t xml:space="preserve">: </w:t>
      </w:r>
      <w:r>
        <w:t xml:space="preserve">Other Service Managed Revenue (PP #16). </w:t>
      </w:r>
    </w:p>
    <w:p w:rsidR="00243878" w:rsidRDefault="00243878" w:rsidP="00243878">
      <w:pPr>
        <w:pStyle w:val="ListParagraph"/>
        <w:numPr>
          <w:ilvl w:val="1"/>
          <w:numId w:val="1"/>
        </w:numPr>
        <w:spacing w:after="160" w:line="259" w:lineRule="auto"/>
      </w:pPr>
      <w:r>
        <w:t>T</w:t>
      </w:r>
      <w:r w:rsidRPr="00C8730B">
        <w:t xml:space="preserve">his </w:t>
      </w:r>
      <w:r w:rsidR="00DC3BAB">
        <w:t>paper provides</w:t>
      </w:r>
      <w:r w:rsidR="00B902CA">
        <w:t xml:space="preserve"> recommendations</w:t>
      </w:r>
      <w:r w:rsidR="00DC3BAB">
        <w:t xml:space="preserve"> on accounting methods for </w:t>
      </w:r>
      <w:r>
        <w:t>costs</w:t>
      </w:r>
      <w:r w:rsidR="00DC3BAB">
        <w:t xml:space="preserve"> and revenues associated</w:t>
      </w:r>
      <w:r>
        <w:t xml:space="preserve"> with programs that are operated by </w:t>
      </w:r>
      <w:r w:rsidR="00B902CA">
        <w:t xml:space="preserve">one service for </w:t>
      </w:r>
      <w:r>
        <w:t>another service. Mr. Blain explains that this paper was created to reduce double cou</w:t>
      </w:r>
      <w:r w:rsidR="00B902CA">
        <w:t xml:space="preserve">nting or under counting. </w:t>
      </w:r>
    </w:p>
    <w:p w:rsidR="0028025A" w:rsidRDefault="00FE5485" w:rsidP="009B18D9">
      <w:pPr>
        <w:pStyle w:val="ListParagraph"/>
        <w:numPr>
          <w:ilvl w:val="1"/>
          <w:numId w:val="1"/>
        </w:numPr>
        <w:spacing w:after="160" w:line="259" w:lineRule="auto"/>
      </w:pPr>
      <w:r>
        <w:t xml:space="preserve">Ms. </w:t>
      </w:r>
      <w:r w:rsidR="00243878">
        <w:t>Daugherty</w:t>
      </w:r>
      <w:r w:rsidR="00B76B42">
        <w:t xml:space="preserve"> </w:t>
      </w:r>
      <w:r w:rsidR="00243878">
        <w:t>started out the discussion by statin</w:t>
      </w:r>
      <w:r w:rsidR="00B902CA">
        <w:t>g that the Army is not aware of any double counting</w:t>
      </w:r>
      <w:r w:rsidR="00243878">
        <w:t xml:space="preserve">. </w:t>
      </w:r>
      <w:r w:rsidR="00B76B42">
        <w:t>Ms. Daugh</w:t>
      </w:r>
      <w:r w:rsidR="0028025A">
        <w:t>er</w:t>
      </w:r>
      <w:r w:rsidR="00B76B42">
        <w:t>t</w:t>
      </w:r>
      <w:r w:rsidR="0028025A">
        <w:t>y would like to check their accounting methods and let OSD know at a later time.</w:t>
      </w:r>
      <w:r w:rsidR="009B18D9">
        <w:t xml:space="preserve"> </w:t>
      </w:r>
      <w:r w:rsidR="0028025A">
        <w:t>Mr. Blain asked the Army if they can check their accounting methods and share with the other services on how their co</w:t>
      </w:r>
      <w:r w:rsidR="00B902CA">
        <w:t>st structure is set up</w:t>
      </w:r>
      <w:r w:rsidR="0028025A">
        <w:t xml:space="preserve">. </w:t>
      </w:r>
      <w:r w:rsidR="009B18D9">
        <w:t xml:space="preserve"> </w:t>
      </w:r>
      <w:r w:rsidR="0028025A">
        <w:t xml:space="preserve"> </w:t>
      </w:r>
    </w:p>
    <w:p w:rsidR="00EC6309" w:rsidRDefault="00FE5485" w:rsidP="0028025A">
      <w:pPr>
        <w:pStyle w:val="ListParagraph"/>
        <w:numPr>
          <w:ilvl w:val="1"/>
          <w:numId w:val="1"/>
        </w:numPr>
        <w:spacing w:after="160" w:line="259" w:lineRule="auto"/>
      </w:pPr>
      <w:r>
        <w:t xml:space="preserve">Ms. </w:t>
      </w:r>
      <w:r w:rsidR="00EC6309">
        <w:t>Stephens</w:t>
      </w:r>
      <w:r w:rsidR="00B76B42">
        <w:t xml:space="preserve"> </w:t>
      </w:r>
      <w:r w:rsidR="00EC6309">
        <w:t xml:space="preserve">noted that the Navy is working </w:t>
      </w:r>
      <w:r w:rsidR="007E2459">
        <w:t xml:space="preserve">with their auditors on how to </w:t>
      </w:r>
      <w:r w:rsidR="00EC6309">
        <w:t>record the costs. Ms. Stephens believes the recommendation is consistent with the current</w:t>
      </w:r>
      <w:r w:rsidR="00B902CA">
        <w:t xml:space="preserve"> Navy practices but will</w:t>
      </w:r>
      <w:r w:rsidR="00EC6309">
        <w:t xml:space="preserve"> check their accounting procedures. </w:t>
      </w:r>
    </w:p>
    <w:p w:rsidR="00EC6309" w:rsidRDefault="00EC6309" w:rsidP="00EB2B06">
      <w:pPr>
        <w:pStyle w:val="ListParagraph"/>
        <w:numPr>
          <w:ilvl w:val="1"/>
          <w:numId w:val="1"/>
        </w:numPr>
        <w:spacing w:after="160" w:line="259" w:lineRule="auto"/>
      </w:pPr>
      <w:r>
        <w:t xml:space="preserve">All other services concurred with Other Service Managed Revenue paper. </w:t>
      </w:r>
      <w:r w:rsidR="00B902CA">
        <w:t xml:space="preserve"> </w:t>
      </w:r>
    </w:p>
    <w:p w:rsidR="00EC6309" w:rsidRPr="00C8730B" w:rsidRDefault="00EC6309" w:rsidP="00EC6309">
      <w:pPr>
        <w:pStyle w:val="ListParagraph"/>
        <w:numPr>
          <w:ilvl w:val="0"/>
          <w:numId w:val="1"/>
        </w:numPr>
        <w:spacing w:after="160" w:line="259" w:lineRule="auto"/>
      </w:pPr>
      <w:r w:rsidRPr="00C8730B">
        <w:t xml:space="preserve">Mr. Blain then proceeded to </w:t>
      </w:r>
      <w:r w:rsidR="00B902CA">
        <w:t>the next paper</w:t>
      </w:r>
      <w:r w:rsidRPr="00C8730B">
        <w:t xml:space="preserve">: </w:t>
      </w:r>
      <w:r>
        <w:t xml:space="preserve">Depreciation Allocation (PP #17). </w:t>
      </w:r>
    </w:p>
    <w:p w:rsidR="00EC6309" w:rsidRDefault="00EC6309" w:rsidP="00B76B42">
      <w:pPr>
        <w:pStyle w:val="ListParagraph"/>
        <w:numPr>
          <w:ilvl w:val="1"/>
          <w:numId w:val="1"/>
        </w:numPr>
        <w:spacing w:after="160" w:line="259" w:lineRule="auto"/>
      </w:pPr>
      <w:r>
        <w:t>T</w:t>
      </w:r>
      <w:r w:rsidRPr="00C8730B">
        <w:t xml:space="preserve">his </w:t>
      </w:r>
      <w:r w:rsidR="000D2EF0">
        <w:t>paper provides a recommendation on the allocation of depreciation.</w:t>
      </w:r>
      <w:r w:rsidR="00B76B42">
        <w:t xml:space="preserve">  </w:t>
      </w:r>
      <w:r w:rsidR="001A2A44">
        <w:t xml:space="preserve">Mr. Higginbotham clarified the recommendation, stating that depreciation should always follow the asset. For example, if an asset is </w:t>
      </w:r>
      <w:r w:rsidR="007E2459">
        <w:t xml:space="preserve">in CAT </w:t>
      </w:r>
      <w:r w:rsidR="001A2A44">
        <w:t>A, then depreciation sh</w:t>
      </w:r>
      <w:r w:rsidR="007E2459">
        <w:t>ould also follow in CAT</w:t>
      </w:r>
      <w:r w:rsidR="006D6FF3">
        <w:t xml:space="preserve"> A. </w:t>
      </w:r>
    </w:p>
    <w:p w:rsidR="006D6FF3" w:rsidRDefault="00B902CA" w:rsidP="006D6FF3">
      <w:pPr>
        <w:pStyle w:val="ListParagraph"/>
        <w:numPr>
          <w:ilvl w:val="1"/>
          <w:numId w:val="1"/>
        </w:numPr>
        <w:spacing w:after="160" w:line="259" w:lineRule="auto"/>
      </w:pPr>
      <w:r>
        <w:t>Ms</w:t>
      </w:r>
      <w:r w:rsidR="006D6FF3">
        <w:t>. Craddock</w:t>
      </w:r>
      <w:r w:rsidR="00B76B42">
        <w:t xml:space="preserve"> </w:t>
      </w:r>
      <w:r w:rsidR="006D6FF3">
        <w:t>asked for ad</w:t>
      </w:r>
      <w:r w:rsidR="000D2EF0">
        <w:t>ditional time to review with</w:t>
      </w:r>
      <w:r w:rsidR="006D6FF3">
        <w:t xml:space="preserve"> Marine </w:t>
      </w:r>
      <w:r w:rsidR="000D2EF0">
        <w:t xml:space="preserve">Corps leadership. </w:t>
      </w:r>
    </w:p>
    <w:p w:rsidR="00AA79FE" w:rsidRDefault="00AA79FE" w:rsidP="006D6FF3">
      <w:pPr>
        <w:pStyle w:val="ListParagraph"/>
        <w:numPr>
          <w:ilvl w:val="1"/>
          <w:numId w:val="1"/>
        </w:numPr>
        <w:spacing w:after="160" w:line="259" w:lineRule="auto"/>
      </w:pPr>
      <w:r>
        <w:t>Ms. Stephens</w:t>
      </w:r>
      <w:r w:rsidR="00B76B42">
        <w:t xml:space="preserve"> </w:t>
      </w:r>
      <w:r>
        <w:t xml:space="preserve">concurred with the Depreciation Allocation paper recommendation. </w:t>
      </w:r>
    </w:p>
    <w:p w:rsidR="00AA79FE" w:rsidRDefault="00AA79FE" w:rsidP="006D6FF3">
      <w:pPr>
        <w:pStyle w:val="ListParagraph"/>
        <w:numPr>
          <w:ilvl w:val="1"/>
          <w:numId w:val="1"/>
        </w:numPr>
        <w:spacing w:after="160" w:line="259" w:lineRule="auto"/>
      </w:pPr>
      <w:r>
        <w:t>Mr. Marsh</w:t>
      </w:r>
      <w:r w:rsidR="00B76B42">
        <w:t xml:space="preserve"> </w:t>
      </w:r>
      <w:r w:rsidR="00C2653E">
        <w:t xml:space="preserve">informed the group that they have notes on this topic. The Air Force would like to make updates to the position paper and send back for review.   </w:t>
      </w:r>
    </w:p>
    <w:p w:rsidR="00AA79FE" w:rsidRDefault="00AA79FE" w:rsidP="00B76B42">
      <w:pPr>
        <w:pStyle w:val="ListParagraph"/>
        <w:numPr>
          <w:ilvl w:val="1"/>
          <w:numId w:val="1"/>
        </w:numPr>
        <w:spacing w:after="160" w:line="259" w:lineRule="auto"/>
      </w:pPr>
      <w:r>
        <w:t>Ms. Daugherty</w:t>
      </w:r>
      <w:r w:rsidR="00B76B42">
        <w:t xml:space="preserve"> </w:t>
      </w:r>
      <w:r>
        <w:t xml:space="preserve">is concerned with </w:t>
      </w:r>
      <w:r w:rsidR="000D2EF0">
        <w:t xml:space="preserve">the allocation depreciation for common support assets such as </w:t>
      </w:r>
      <w:r>
        <w:t>marketing</w:t>
      </w:r>
      <w:r w:rsidR="000D2EF0">
        <w:t xml:space="preserve">. </w:t>
      </w:r>
      <w:r>
        <w:t xml:space="preserve">Mr. Higginbotham clarified that if the marketing </w:t>
      </w:r>
      <w:r w:rsidR="000D2EF0">
        <w:t>is done at the regional or head</w:t>
      </w:r>
      <w:r>
        <w:t>quarter</w:t>
      </w:r>
      <w:r w:rsidR="000D2EF0">
        <w:t>s</w:t>
      </w:r>
      <w:r>
        <w:t xml:space="preserve"> level, than the depre</w:t>
      </w:r>
      <w:r w:rsidR="000D2EF0">
        <w:t>ciation would be pooled at</w:t>
      </w:r>
      <w:r>
        <w:t xml:space="preserve"> the regional level. </w:t>
      </w:r>
    </w:p>
    <w:p w:rsidR="00C2653E" w:rsidRPr="00C8730B" w:rsidRDefault="00C2653E" w:rsidP="00C2653E">
      <w:pPr>
        <w:pStyle w:val="ListParagraph"/>
        <w:numPr>
          <w:ilvl w:val="0"/>
          <w:numId w:val="1"/>
        </w:numPr>
        <w:spacing w:after="160" w:line="259" w:lineRule="auto"/>
      </w:pPr>
      <w:r w:rsidRPr="00C8730B">
        <w:t xml:space="preserve">Mr. </w:t>
      </w:r>
      <w:r w:rsidR="00685306">
        <w:t>Blain then discussed</w:t>
      </w:r>
      <w:r w:rsidRPr="00C8730B">
        <w:t xml:space="preserve">: </w:t>
      </w:r>
      <w:r>
        <w:t xml:space="preserve">Workers Compensation (PP #18). </w:t>
      </w:r>
    </w:p>
    <w:p w:rsidR="00C2653E" w:rsidRDefault="00C2653E" w:rsidP="007E2459">
      <w:pPr>
        <w:pStyle w:val="ListParagraph"/>
        <w:numPr>
          <w:ilvl w:val="1"/>
          <w:numId w:val="1"/>
        </w:numPr>
        <w:spacing w:after="160" w:line="259" w:lineRule="auto"/>
      </w:pPr>
      <w:r>
        <w:t>T</w:t>
      </w:r>
      <w:r w:rsidRPr="00C8730B">
        <w:t xml:space="preserve">his </w:t>
      </w:r>
      <w:r>
        <w:t xml:space="preserve">paper </w:t>
      </w:r>
      <w:r w:rsidR="007E2459">
        <w:t xml:space="preserve">recommends that all Services account for Workers’ Compensation relating to uninsured, or self-insured risks occurring on or before the balance-sheet date as a probable loss contingency. The related account “Workers’ Compensation Payable” is currently only used by the Navy, but should be used by all Services if a probable </w:t>
      </w:r>
      <w:r w:rsidR="00AF56DE">
        <w:t>loss contingency exists</w:t>
      </w:r>
      <w:r w:rsidR="007E2459">
        <w:t>.</w:t>
      </w:r>
    </w:p>
    <w:p w:rsidR="00AA79FE" w:rsidRDefault="00FE5485" w:rsidP="00C2653E">
      <w:pPr>
        <w:pStyle w:val="ListParagraph"/>
        <w:numPr>
          <w:ilvl w:val="1"/>
          <w:numId w:val="1"/>
        </w:numPr>
        <w:spacing w:after="160" w:line="259" w:lineRule="auto"/>
      </w:pPr>
      <w:r>
        <w:lastRenderedPageBreak/>
        <w:t xml:space="preserve">Ms. </w:t>
      </w:r>
      <w:r w:rsidR="00C2653E">
        <w:t>Lipko</w:t>
      </w:r>
      <w:r w:rsidR="00B76B42">
        <w:t xml:space="preserve"> </w:t>
      </w:r>
      <w:r w:rsidR="00C2653E">
        <w:t>requested mor</w:t>
      </w:r>
      <w:r w:rsidR="00AF56DE">
        <w:t>e time to review and provide feedbcak</w:t>
      </w:r>
      <w:r w:rsidR="00C2653E">
        <w:t xml:space="preserve">. </w:t>
      </w:r>
    </w:p>
    <w:p w:rsidR="007E2459" w:rsidRDefault="00C61C7B" w:rsidP="007E2459">
      <w:pPr>
        <w:pStyle w:val="ListParagraph"/>
        <w:numPr>
          <w:ilvl w:val="1"/>
          <w:numId w:val="1"/>
        </w:numPr>
        <w:spacing w:after="160" w:line="259" w:lineRule="auto"/>
      </w:pPr>
      <w:r>
        <w:t xml:space="preserve">All other services </w:t>
      </w:r>
      <w:r w:rsidR="00C2653E">
        <w:t xml:space="preserve">requested more time to provide feedback on the </w:t>
      </w:r>
      <w:r w:rsidR="00234906">
        <w:t xml:space="preserve">position </w:t>
      </w:r>
      <w:r w:rsidR="00C2653E">
        <w:t>paper</w:t>
      </w:r>
      <w:r w:rsidR="00234906">
        <w:t xml:space="preserve">. </w:t>
      </w:r>
      <w:r w:rsidR="00C2653E">
        <w:t xml:space="preserve"> </w:t>
      </w:r>
    </w:p>
    <w:p w:rsidR="00685306" w:rsidRDefault="00234906" w:rsidP="007E2459">
      <w:pPr>
        <w:pStyle w:val="ListParagraph"/>
        <w:numPr>
          <w:ilvl w:val="0"/>
          <w:numId w:val="1"/>
        </w:numPr>
        <w:spacing w:after="160" w:line="259" w:lineRule="auto"/>
      </w:pPr>
      <w:r w:rsidRPr="00C8730B">
        <w:t>Mr. B</w:t>
      </w:r>
      <w:r>
        <w:t xml:space="preserve">lain then proceeded </w:t>
      </w:r>
      <w:r w:rsidR="00F46387">
        <w:t>additional Position P</w:t>
      </w:r>
      <w:r w:rsidRPr="00C8730B">
        <w:t>aper</w:t>
      </w:r>
      <w:r>
        <w:t>s</w:t>
      </w:r>
      <w:r w:rsidR="00685306">
        <w:t xml:space="preserve"> </w:t>
      </w:r>
      <w:r>
        <w:t xml:space="preserve">for discussion. </w:t>
      </w:r>
    </w:p>
    <w:p w:rsidR="00234906" w:rsidRPr="00C8730B" w:rsidRDefault="007E2459" w:rsidP="00685306">
      <w:pPr>
        <w:pStyle w:val="ListParagraph"/>
        <w:numPr>
          <w:ilvl w:val="1"/>
          <w:numId w:val="1"/>
        </w:numPr>
        <w:spacing w:after="160" w:line="259" w:lineRule="auto"/>
      </w:pPr>
      <w:r>
        <w:t>Mr. Blain started the discussion of the group 6 position papers w</w:t>
      </w:r>
      <w:r w:rsidR="00AF56DE">
        <w:t>ith</w:t>
      </w:r>
      <w:r>
        <w:t xml:space="preserve"> M</w:t>
      </w:r>
      <w:r w:rsidR="00234906">
        <w:t>OA/UFM Purchased Assets (PP #31)</w:t>
      </w:r>
      <w:r>
        <w:t>.</w:t>
      </w:r>
      <w:r w:rsidR="00234906">
        <w:t xml:space="preserve"> </w:t>
      </w:r>
    </w:p>
    <w:p w:rsidR="00234906" w:rsidRDefault="00234906" w:rsidP="00F46387">
      <w:pPr>
        <w:pStyle w:val="ListParagraph"/>
        <w:numPr>
          <w:ilvl w:val="1"/>
          <w:numId w:val="1"/>
        </w:numPr>
        <w:spacing w:after="160" w:line="259" w:lineRule="auto"/>
      </w:pPr>
      <w:r>
        <w:t>T</w:t>
      </w:r>
      <w:r w:rsidRPr="00C8730B">
        <w:t xml:space="preserve">his </w:t>
      </w:r>
      <w:r>
        <w:t xml:space="preserve">paper </w:t>
      </w:r>
      <w:r w:rsidR="007E2459">
        <w:t xml:space="preserve">recommends the FMR and DoDI 1015.15 be changed to reflect GAAP and capitalize APF assets regardless of process used to acquire the assets. </w:t>
      </w:r>
      <w:r>
        <w:t xml:space="preserve"> Mr. Higginbotham explained t</w:t>
      </w:r>
      <w:r w:rsidR="00AF56DE">
        <w:t>he recommendation ensures capitalization of all assets, whether purchased</w:t>
      </w:r>
      <w:r>
        <w:t xml:space="preserve"> </w:t>
      </w:r>
      <w:r w:rsidR="00AF56DE">
        <w:t xml:space="preserve">with </w:t>
      </w:r>
      <w:r>
        <w:t xml:space="preserve">NAF and MOA/UFM. </w:t>
      </w:r>
    </w:p>
    <w:p w:rsidR="0078151E" w:rsidRDefault="000D7ED3" w:rsidP="00F46387">
      <w:pPr>
        <w:pStyle w:val="ListParagraph"/>
        <w:numPr>
          <w:ilvl w:val="1"/>
          <w:numId w:val="1"/>
        </w:numPr>
        <w:spacing w:after="160" w:line="259" w:lineRule="auto"/>
      </w:pPr>
      <w:r>
        <w:t>Ms. Stephens</w:t>
      </w:r>
      <w:r w:rsidR="00B76B42">
        <w:t xml:space="preserve"> </w:t>
      </w:r>
      <w:r w:rsidR="00F46387">
        <w:t>disagreed</w:t>
      </w:r>
      <w:r w:rsidR="0078151E">
        <w:t xml:space="preserve"> with the recommendation, stating if an asset is bought using UFM dollars, they will have to track it while depreciating. Ms. Stephens explained that there are numerous assets over a period of time and having to track the depreciation is unviable. </w:t>
      </w:r>
      <w:r w:rsidR="00F46387">
        <w:t xml:space="preserve"> </w:t>
      </w:r>
      <w:r w:rsidR="00FE5485">
        <w:t xml:space="preserve">Ms. </w:t>
      </w:r>
      <w:r w:rsidR="00190290">
        <w:t>Fowler</w:t>
      </w:r>
      <w:r w:rsidR="00B76B42">
        <w:t xml:space="preserve"> </w:t>
      </w:r>
      <w:r w:rsidR="00190290">
        <w:t>added to the concerns, noting UFM is a mechanism that allows the services to become more efficient un</w:t>
      </w:r>
      <w:r w:rsidR="00DD588A">
        <w:t>der NAF but is not a NAF</w:t>
      </w:r>
      <w:r w:rsidR="00190290">
        <w:t xml:space="preserve">. </w:t>
      </w:r>
    </w:p>
    <w:p w:rsidR="00BA25C2" w:rsidRDefault="00190290" w:rsidP="00DD588A">
      <w:pPr>
        <w:pStyle w:val="ListParagraph"/>
        <w:numPr>
          <w:ilvl w:val="1"/>
          <w:numId w:val="1"/>
        </w:numPr>
        <w:spacing w:after="160" w:line="259" w:lineRule="auto"/>
      </w:pPr>
      <w:r>
        <w:t>Ms. Daugherty</w:t>
      </w:r>
      <w:r w:rsidR="00B76B42">
        <w:t xml:space="preserve"> </w:t>
      </w:r>
      <w:r w:rsidR="00DD588A">
        <w:t>agreed with the Navy’s concerns</w:t>
      </w:r>
    </w:p>
    <w:p w:rsidR="00BA25C2" w:rsidRDefault="00BA25C2" w:rsidP="00F46387">
      <w:pPr>
        <w:pStyle w:val="ListParagraph"/>
        <w:numPr>
          <w:ilvl w:val="1"/>
          <w:numId w:val="1"/>
        </w:numPr>
        <w:spacing w:after="160" w:line="259" w:lineRule="auto"/>
      </w:pPr>
      <w:r>
        <w:t>Mr. Curtis asked for clarification from the Air Force since it was their auditors that</w:t>
      </w:r>
      <w:r w:rsidR="00DD588A">
        <w:t xml:space="preserve"> brought this issue up</w:t>
      </w:r>
      <w:r>
        <w:t xml:space="preserve">. </w:t>
      </w:r>
      <w:r w:rsidR="00644420">
        <w:t>The Air Force responded by clar</w:t>
      </w:r>
      <w:r w:rsidR="00DD588A">
        <w:t>ifying the need for the DoDI 1015.15</w:t>
      </w:r>
      <w:r w:rsidR="00644420">
        <w:t xml:space="preserve"> to be changed to allow for an exemption from GA</w:t>
      </w:r>
      <w:r w:rsidR="00DD588A">
        <w:t>A</w:t>
      </w:r>
      <w:r w:rsidR="00644420">
        <w:t>P for UFM. The Air Force expla</w:t>
      </w:r>
      <w:r w:rsidR="00DD588A">
        <w:t>ined that their auditors audit</w:t>
      </w:r>
      <w:r w:rsidR="00644420">
        <w:t xml:space="preserve"> </w:t>
      </w:r>
      <w:r w:rsidR="00DD588A">
        <w:t xml:space="preserve">in </w:t>
      </w:r>
      <w:r w:rsidR="00644420">
        <w:t>accordance with  GA</w:t>
      </w:r>
      <w:r w:rsidR="00DD588A">
        <w:t>AP</w:t>
      </w:r>
      <w:r w:rsidR="00644420">
        <w:t xml:space="preserve">. </w:t>
      </w:r>
    </w:p>
    <w:p w:rsidR="00644420" w:rsidRDefault="00644420" w:rsidP="00644420">
      <w:pPr>
        <w:pStyle w:val="ListParagraph"/>
        <w:numPr>
          <w:ilvl w:val="1"/>
          <w:numId w:val="1"/>
        </w:numPr>
        <w:spacing w:after="160" w:line="259" w:lineRule="auto"/>
      </w:pPr>
      <w:r>
        <w:t>Mr. Curtis concluded the discussion of t</w:t>
      </w:r>
      <w:r w:rsidR="00DD588A">
        <w:t xml:space="preserve">he MOA/UFM paper by stating </w:t>
      </w:r>
      <w:r w:rsidR="00C61C7B">
        <w:t xml:space="preserve">DoDI </w:t>
      </w:r>
      <w:r w:rsidR="00DD588A">
        <w:t xml:space="preserve">1015.15 will be updated to clarify that accounting for assets purchased with MOA/UFM do </w:t>
      </w:r>
      <w:r w:rsidR="00653D29">
        <w:t xml:space="preserve">NOT </w:t>
      </w:r>
      <w:r w:rsidR="00DD588A">
        <w:t>need to comply with GAAP.</w:t>
      </w:r>
    </w:p>
    <w:p w:rsidR="00C61C7B" w:rsidRPr="00C8730B" w:rsidRDefault="00C61C7B" w:rsidP="00C61C7B">
      <w:pPr>
        <w:pStyle w:val="ListParagraph"/>
        <w:numPr>
          <w:ilvl w:val="0"/>
          <w:numId w:val="1"/>
        </w:numPr>
        <w:spacing w:after="160" w:line="259" w:lineRule="auto"/>
      </w:pPr>
      <w:r w:rsidRPr="00C8730B">
        <w:t>Mr. B</w:t>
      </w:r>
      <w:r w:rsidR="00994E58">
        <w:t>lain then proceeded to</w:t>
      </w:r>
      <w:r>
        <w:t>: Discontinued Operations</w:t>
      </w:r>
      <w:r w:rsidR="00524211">
        <w:t xml:space="preserve"> (PP #28).</w:t>
      </w:r>
      <w:r>
        <w:t xml:space="preserve"> </w:t>
      </w:r>
    </w:p>
    <w:p w:rsidR="00D72E35" w:rsidRDefault="00C61C7B" w:rsidP="00F46387">
      <w:pPr>
        <w:pStyle w:val="ListParagraph"/>
        <w:numPr>
          <w:ilvl w:val="1"/>
          <w:numId w:val="1"/>
        </w:numPr>
        <w:spacing w:after="160" w:line="259" w:lineRule="auto"/>
      </w:pPr>
      <w:r>
        <w:t>T</w:t>
      </w:r>
      <w:r w:rsidRPr="00C8730B">
        <w:t xml:space="preserve">his </w:t>
      </w:r>
      <w:r w:rsidR="002B1A8D">
        <w:t xml:space="preserve">paper recommends adding a discontinued operations GLAC </w:t>
      </w:r>
      <w:r>
        <w:t xml:space="preserve">to account for </w:t>
      </w:r>
      <w:r w:rsidR="002B1A8D">
        <w:t>discontinued MWR operations such as during BRAC</w:t>
      </w:r>
      <w:r>
        <w:t>.</w:t>
      </w:r>
      <w:r w:rsidR="00F46387">
        <w:t xml:space="preserve"> </w:t>
      </w:r>
      <w:r w:rsidR="00D72E35">
        <w:t>No service raised any objections to adding a</w:t>
      </w:r>
      <w:r w:rsidR="002B1A8D">
        <w:t xml:space="preserve"> discontinued operations GLAC</w:t>
      </w:r>
      <w:r w:rsidR="00D72E35">
        <w:t xml:space="preserve">. </w:t>
      </w:r>
    </w:p>
    <w:p w:rsidR="000370A8" w:rsidRDefault="00D72E35" w:rsidP="00F63DD5">
      <w:pPr>
        <w:pStyle w:val="ListParagraph"/>
        <w:numPr>
          <w:ilvl w:val="1"/>
          <w:numId w:val="1"/>
        </w:numPr>
        <w:spacing w:after="160" w:line="259" w:lineRule="auto"/>
      </w:pPr>
      <w:r w:rsidRPr="00C8730B">
        <w:t xml:space="preserve">All Services concurred with the </w:t>
      </w:r>
      <w:r w:rsidR="000370A8">
        <w:t>discontinued</w:t>
      </w:r>
      <w:r>
        <w:t xml:space="preserve"> operations paper</w:t>
      </w:r>
      <w:r w:rsidR="00F63DD5">
        <w:t>.</w:t>
      </w:r>
    </w:p>
    <w:p w:rsidR="00F63DD5" w:rsidRDefault="00F63DD5" w:rsidP="00F63DD5">
      <w:pPr>
        <w:pStyle w:val="ListParagraph"/>
        <w:numPr>
          <w:ilvl w:val="0"/>
          <w:numId w:val="1"/>
        </w:numPr>
        <w:spacing w:after="160" w:line="259" w:lineRule="auto"/>
      </w:pPr>
      <w:r>
        <w:t xml:space="preserve">Mr. Blain </w:t>
      </w:r>
      <w:r w:rsidR="002B1A8D">
        <w:t>then discussed</w:t>
      </w:r>
      <w:r w:rsidR="00685306">
        <w:t xml:space="preserve">: </w:t>
      </w:r>
      <w:r w:rsidR="00AB3AC1">
        <w:t>Flexible Spending Account</w:t>
      </w:r>
      <w:r w:rsidR="002B1A8D">
        <w:t xml:space="preserve"> (FSA)</w:t>
      </w:r>
      <w:r w:rsidR="00AB3AC1">
        <w:t xml:space="preserve"> (PP # 30)</w:t>
      </w:r>
    </w:p>
    <w:p w:rsidR="00AA5083" w:rsidRDefault="00AB3AC1" w:rsidP="00AA5083">
      <w:pPr>
        <w:pStyle w:val="ListParagraph"/>
        <w:numPr>
          <w:ilvl w:val="1"/>
          <w:numId w:val="1"/>
        </w:numPr>
        <w:spacing w:after="160" w:line="259" w:lineRule="auto"/>
      </w:pPr>
      <w:r>
        <w:t xml:space="preserve">This paper </w:t>
      </w:r>
      <w:r w:rsidR="002B1A8D">
        <w:t>proposes</w:t>
      </w:r>
      <w:r w:rsidR="00AA5083">
        <w:t xml:space="preserve"> to standardize the NAFSGL and FMR and gives the services a choice between two recommendations, allowing either one: </w:t>
      </w:r>
    </w:p>
    <w:p w:rsidR="00AA5083" w:rsidRDefault="00AA5083" w:rsidP="00AA5083">
      <w:pPr>
        <w:pStyle w:val="ListParagraph"/>
        <w:numPr>
          <w:ilvl w:val="2"/>
          <w:numId w:val="1"/>
        </w:numPr>
      </w:pPr>
      <w:r>
        <w:t>Recommendation 1: Add a Flexible Spending Account Payable and a Flexible Spending Account Administrative Expense to the NAFSGL 3.0</w:t>
      </w:r>
    </w:p>
    <w:p w:rsidR="00AA5083" w:rsidRDefault="00AA5083" w:rsidP="00AA5083">
      <w:pPr>
        <w:pStyle w:val="ListParagraph"/>
        <w:numPr>
          <w:ilvl w:val="2"/>
          <w:numId w:val="1"/>
        </w:numPr>
      </w:pPr>
      <w:r>
        <w:t xml:space="preserve">Recommendation 2: Adjust the FMR to consolidate the FSA liability account into Employee Deductions Payable, and place the FSA admin fee into its own account, into Employee Insurance Premium Expense, or into an Other Operating expense account. </w:t>
      </w:r>
    </w:p>
    <w:p w:rsidR="00AA5083" w:rsidRDefault="002B1A8D" w:rsidP="00DE2571">
      <w:pPr>
        <w:pStyle w:val="ListParagraph"/>
        <w:numPr>
          <w:ilvl w:val="1"/>
          <w:numId w:val="1"/>
        </w:numPr>
        <w:spacing w:after="160" w:line="259" w:lineRule="auto"/>
      </w:pPr>
      <w:r>
        <w:lastRenderedPageBreak/>
        <w:t>Ms</w:t>
      </w:r>
      <w:r w:rsidR="00AA5083">
        <w:t>. Craddock</w:t>
      </w:r>
      <w:r w:rsidR="00B76B42">
        <w:t xml:space="preserve"> </w:t>
      </w:r>
      <w:r w:rsidR="00AA5083">
        <w:t>opened up the discussion by n</w:t>
      </w:r>
      <w:r>
        <w:t>oting the Marine Corps concurred</w:t>
      </w:r>
      <w:r w:rsidR="00AA5083">
        <w:t xml:space="preserve"> with either recommendation. </w:t>
      </w:r>
    </w:p>
    <w:p w:rsidR="00DE2571" w:rsidRDefault="00DE2571" w:rsidP="00F46387">
      <w:pPr>
        <w:pStyle w:val="ListParagraph"/>
        <w:numPr>
          <w:ilvl w:val="1"/>
          <w:numId w:val="1"/>
        </w:numPr>
        <w:spacing w:after="160" w:line="259" w:lineRule="auto"/>
      </w:pPr>
      <w:r>
        <w:t>Ms. Stephens</w:t>
      </w:r>
      <w:r w:rsidR="00B76B42">
        <w:t xml:space="preserve"> </w:t>
      </w:r>
      <w:r>
        <w:t xml:space="preserve">stated that their current procedures are </w:t>
      </w:r>
      <w:r w:rsidR="00F46387">
        <w:t xml:space="preserve">using an </w:t>
      </w:r>
      <w:r>
        <w:t>employee deductions payable</w:t>
      </w:r>
      <w:r w:rsidR="00F46387">
        <w:t xml:space="preserve"> account</w:t>
      </w:r>
      <w:r>
        <w:t>. The Na</w:t>
      </w:r>
      <w:r w:rsidR="00F46387">
        <w:t>vy would prefer Recommendation 2</w:t>
      </w:r>
      <w:r>
        <w:t xml:space="preserve"> as long as t</w:t>
      </w:r>
      <w:r w:rsidR="002B1A8D">
        <w:t>here is a</w:t>
      </w:r>
      <w:r>
        <w:t xml:space="preserve"> sub shred of FSA deductions. </w:t>
      </w:r>
      <w:r w:rsidR="00F46387">
        <w:t xml:space="preserve"> </w:t>
      </w:r>
      <w:r>
        <w:t xml:space="preserve">Mr. Higginbotham asked a clarifying question on whether the employee </w:t>
      </w:r>
      <w:r w:rsidR="00BF2263">
        <w:t>deduction</w:t>
      </w:r>
      <w:r>
        <w:t xml:space="preserve"> would get rolled over if the account was not used at the end of the year. Ms. </w:t>
      </w:r>
      <w:r w:rsidR="002B1A8D">
        <w:t xml:space="preserve">Stephens said </w:t>
      </w:r>
      <w:r w:rsidR="00FB37E2">
        <w:t>the Navy uses a 3</w:t>
      </w:r>
      <w:r w:rsidR="00FB37E2" w:rsidRPr="00F46387">
        <w:rPr>
          <w:vertAlign w:val="superscript"/>
        </w:rPr>
        <w:t>rd</w:t>
      </w:r>
      <w:r w:rsidR="00FB37E2">
        <w:t xml:space="preserve"> party and </w:t>
      </w:r>
      <w:r w:rsidR="002B1A8D">
        <w:t xml:space="preserve">she </w:t>
      </w:r>
      <w:r w:rsidR="00BF2263">
        <w:t>need</w:t>
      </w:r>
      <w:r w:rsidR="002B1A8D">
        <w:t>ed</w:t>
      </w:r>
      <w:r w:rsidR="00BF2263">
        <w:t xml:space="preserve"> more time to answer Mr. Higginbotham’s question. </w:t>
      </w:r>
    </w:p>
    <w:p w:rsidR="00BF2263" w:rsidRDefault="00BF2263" w:rsidP="00BF2263">
      <w:pPr>
        <w:pStyle w:val="ListParagraph"/>
        <w:numPr>
          <w:ilvl w:val="1"/>
          <w:numId w:val="1"/>
        </w:numPr>
        <w:spacing w:after="160" w:line="259" w:lineRule="auto"/>
      </w:pPr>
      <w:r>
        <w:t xml:space="preserve">All other services requested more time to provide feedback on the position paper. </w:t>
      </w:r>
    </w:p>
    <w:p w:rsidR="002021AC" w:rsidRDefault="0031019E" w:rsidP="002021AC">
      <w:pPr>
        <w:pStyle w:val="ListParagraph"/>
        <w:numPr>
          <w:ilvl w:val="0"/>
          <w:numId w:val="1"/>
        </w:numPr>
        <w:spacing w:after="160" w:line="259" w:lineRule="auto"/>
      </w:pPr>
      <w:r>
        <w:t>Mr. Blain then followed to the next paper for discussion</w:t>
      </w:r>
      <w:r w:rsidR="002021AC">
        <w:t xml:space="preserve">: Recycling (PP # 32) </w:t>
      </w:r>
    </w:p>
    <w:p w:rsidR="00C33BE9" w:rsidRPr="00C33BE9" w:rsidRDefault="00C33BE9" w:rsidP="00C33BE9">
      <w:pPr>
        <w:pStyle w:val="ListParagraph"/>
        <w:numPr>
          <w:ilvl w:val="1"/>
          <w:numId w:val="1"/>
        </w:numPr>
        <w:spacing w:after="160" w:line="259" w:lineRule="auto"/>
      </w:pPr>
      <w:r>
        <w:t xml:space="preserve">The paper recommends </w:t>
      </w:r>
      <w:r>
        <w:rPr>
          <w:bCs/>
        </w:rPr>
        <w:t xml:space="preserve">the </w:t>
      </w:r>
      <w:r w:rsidR="00FB37E2">
        <w:rPr>
          <w:bCs/>
        </w:rPr>
        <w:t xml:space="preserve">DoDI </w:t>
      </w:r>
      <w:r>
        <w:rPr>
          <w:bCs/>
        </w:rPr>
        <w:t xml:space="preserve">1015.15, FMR, and NAFSGL </w:t>
      </w:r>
      <w:r w:rsidR="00FB37E2">
        <w:rPr>
          <w:bCs/>
        </w:rPr>
        <w:t xml:space="preserve">specifically address accounting for proceeds from </w:t>
      </w:r>
      <w:r>
        <w:rPr>
          <w:bCs/>
        </w:rPr>
        <w:t>Recy</w:t>
      </w:r>
      <w:r w:rsidR="00FB37E2">
        <w:rPr>
          <w:bCs/>
        </w:rPr>
        <w:t>cling program</w:t>
      </w:r>
      <w:r>
        <w:rPr>
          <w:bCs/>
        </w:rPr>
        <w:t xml:space="preserve">. </w:t>
      </w:r>
    </w:p>
    <w:p w:rsidR="00C33BE9" w:rsidRDefault="00C33BE9" w:rsidP="00A753A3">
      <w:pPr>
        <w:pStyle w:val="ListParagraph"/>
        <w:numPr>
          <w:ilvl w:val="1"/>
          <w:numId w:val="1"/>
        </w:numPr>
        <w:spacing w:after="160" w:line="259" w:lineRule="auto"/>
      </w:pPr>
      <w:r>
        <w:t>Ms. Lipko</w:t>
      </w:r>
      <w:r w:rsidR="00F46387">
        <w:t xml:space="preserve"> </w:t>
      </w:r>
      <w:r>
        <w:t xml:space="preserve">stated that the Air Force recognize the Recycling program </w:t>
      </w:r>
      <w:r w:rsidR="0031019E">
        <w:t xml:space="preserve">as a non-operating income </w:t>
      </w:r>
      <w:r w:rsidR="00F46387">
        <w:t xml:space="preserve">and </w:t>
      </w:r>
      <w:r w:rsidR="0031019E">
        <w:t>not as an MWR program. The Air Force reques</w:t>
      </w:r>
      <w:r w:rsidR="00FB37E2">
        <w:t>ted more time to provide final perspective</w:t>
      </w:r>
      <w:r w:rsidR="0031019E">
        <w:t xml:space="preserve">. </w:t>
      </w:r>
      <w:r>
        <w:t xml:space="preserve"> </w:t>
      </w:r>
    </w:p>
    <w:p w:rsidR="0031019E" w:rsidRDefault="0031019E" w:rsidP="00F46387">
      <w:pPr>
        <w:pStyle w:val="ListParagraph"/>
        <w:numPr>
          <w:ilvl w:val="1"/>
          <w:numId w:val="1"/>
        </w:numPr>
        <w:spacing w:after="160" w:line="259" w:lineRule="auto"/>
      </w:pPr>
      <w:r>
        <w:t>Ms. Daugherty</w:t>
      </w:r>
      <w:r w:rsidR="00F46387">
        <w:t xml:space="preserve"> </w:t>
      </w:r>
      <w:r>
        <w:t xml:space="preserve">explained that currently, </w:t>
      </w:r>
      <w:r w:rsidR="00FB37E2">
        <w:t>recycling as a S</w:t>
      </w:r>
      <w:r>
        <w:t xml:space="preserve">upplemental </w:t>
      </w:r>
      <w:r w:rsidR="00FB37E2">
        <w:t xml:space="preserve">Mission Fund </w:t>
      </w:r>
      <w:r>
        <w:t>which would benefit the</w:t>
      </w:r>
      <w:r w:rsidR="00FB37E2">
        <w:t xml:space="preserve"> entire garrison if there are proceeds</w:t>
      </w:r>
      <w:r>
        <w:t xml:space="preserve">.  </w:t>
      </w:r>
      <w:r w:rsidR="00FB37E2">
        <w:t>Ms. Daugherty did not know how</w:t>
      </w:r>
      <w:r>
        <w:t xml:space="preserve"> the income was being recorded.</w:t>
      </w:r>
    </w:p>
    <w:p w:rsidR="003F5500" w:rsidRDefault="0031019E" w:rsidP="00F46387">
      <w:pPr>
        <w:pStyle w:val="ListParagraph"/>
        <w:numPr>
          <w:ilvl w:val="1"/>
          <w:numId w:val="1"/>
        </w:numPr>
        <w:spacing w:after="160" w:line="259" w:lineRule="auto"/>
      </w:pPr>
      <w:r>
        <w:t>Ms. Stephens</w:t>
      </w:r>
      <w:r w:rsidR="00F46387">
        <w:t xml:space="preserve"> </w:t>
      </w:r>
      <w:r>
        <w:t>responded</w:t>
      </w:r>
      <w:r w:rsidR="00FB37E2">
        <w:t xml:space="preserve"> by stating that the Navy has</w:t>
      </w:r>
      <w:r>
        <w:t xml:space="preserve"> their own internal code for the activity</w:t>
      </w:r>
      <w:r w:rsidR="003F5500">
        <w:t xml:space="preserve"> which identifies it, even though the activity is not an official MWR activity. The Navy requested more time </w:t>
      </w:r>
      <w:r w:rsidR="00FB37E2">
        <w:t>to provide final perspective</w:t>
      </w:r>
      <w:r>
        <w:t>.</w:t>
      </w:r>
      <w:r w:rsidR="003F5500">
        <w:t xml:space="preserve"> </w:t>
      </w:r>
    </w:p>
    <w:p w:rsidR="003F5500" w:rsidRDefault="003F5500" w:rsidP="003F5500">
      <w:pPr>
        <w:pStyle w:val="ListParagraph"/>
        <w:numPr>
          <w:ilvl w:val="1"/>
          <w:numId w:val="1"/>
        </w:numPr>
        <w:spacing w:after="160" w:line="259" w:lineRule="auto"/>
      </w:pPr>
      <w:r>
        <w:t>Mr. Craddock also requested more time to see what cost center recycling was being recorded under. Cu</w:t>
      </w:r>
      <w:r w:rsidR="00FB37E2">
        <w:t>rrently, the Marine Corps</w:t>
      </w:r>
      <w:r w:rsidR="0049010A">
        <w:t xml:space="preserve"> records recycling income </w:t>
      </w:r>
      <w:r w:rsidR="00FB37E2">
        <w:t xml:space="preserve">as </w:t>
      </w:r>
      <w:r>
        <w:t>oper</w:t>
      </w:r>
      <w:r w:rsidR="00FB37E2">
        <w:t>ating revenue but are considering changing</w:t>
      </w:r>
      <w:r>
        <w:t xml:space="preserve"> to non-operating revenue. </w:t>
      </w:r>
    </w:p>
    <w:p w:rsidR="0031019E" w:rsidRDefault="00FB37E2" w:rsidP="003F5500">
      <w:pPr>
        <w:pStyle w:val="ListParagraph"/>
        <w:numPr>
          <w:ilvl w:val="1"/>
          <w:numId w:val="1"/>
        </w:numPr>
        <w:spacing w:after="160" w:line="259" w:lineRule="auto"/>
      </w:pPr>
      <w:r>
        <w:t>G</w:t>
      </w:r>
      <w:r w:rsidR="003F5500">
        <w:t>eneral c</w:t>
      </w:r>
      <w:r w:rsidR="0093229C">
        <w:t xml:space="preserve">onsensus appears to be to account for </w:t>
      </w:r>
      <w:r w:rsidR="003F5500">
        <w:t xml:space="preserve">recycling </w:t>
      </w:r>
      <w:r w:rsidR="0093229C">
        <w:t>income as</w:t>
      </w:r>
      <w:r w:rsidR="003F5500">
        <w:t xml:space="preserve"> non-operating revenue</w:t>
      </w:r>
      <w:r w:rsidR="0093229C">
        <w:t>, however, a final decision was pending feedback from the services</w:t>
      </w:r>
      <w:r w:rsidR="003F5500">
        <w:t xml:space="preserve">. </w:t>
      </w:r>
      <w:r w:rsidR="0031019E">
        <w:t xml:space="preserve"> </w:t>
      </w:r>
    </w:p>
    <w:p w:rsidR="003F5500" w:rsidRDefault="0093229C" w:rsidP="003F5500">
      <w:pPr>
        <w:pStyle w:val="ListParagraph"/>
        <w:numPr>
          <w:ilvl w:val="0"/>
          <w:numId w:val="1"/>
        </w:numPr>
        <w:spacing w:after="160" w:line="259" w:lineRule="auto"/>
      </w:pPr>
      <w:r>
        <w:t>Mr. Blain then discussed</w:t>
      </w:r>
      <w:r w:rsidR="003F5500">
        <w:t>: Stale Checks (PP # 33)</w:t>
      </w:r>
    </w:p>
    <w:p w:rsidR="003F5500" w:rsidRDefault="003F5500" w:rsidP="003F5500">
      <w:pPr>
        <w:pStyle w:val="ListParagraph"/>
        <w:numPr>
          <w:ilvl w:val="1"/>
          <w:numId w:val="1"/>
        </w:numPr>
        <w:spacing w:after="160" w:line="259" w:lineRule="auto"/>
      </w:pPr>
      <w:r>
        <w:t xml:space="preserve">The paper recommends </w:t>
      </w:r>
      <w:r w:rsidR="0093229C">
        <w:t xml:space="preserve">that </w:t>
      </w:r>
      <w:r>
        <w:t xml:space="preserve">the services to deposit the funds that are to be collected in a deposit fund account for up to a year and subsequently transferred into Payment of Unclaimed Moneys account or Forfeitures of Unclaimed Money and Property. </w:t>
      </w:r>
    </w:p>
    <w:p w:rsidR="003F5500" w:rsidRDefault="0093229C" w:rsidP="003F5500">
      <w:pPr>
        <w:pStyle w:val="ListParagraph"/>
        <w:numPr>
          <w:ilvl w:val="1"/>
          <w:numId w:val="1"/>
        </w:numPr>
        <w:spacing w:after="160" w:line="259" w:lineRule="auto"/>
      </w:pPr>
      <w:r>
        <w:t>Ms</w:t>
      </w:r>
      <w:r w:rsidR="003F5500">
        <w:t>. Craddock</w:t>
      </w:r>
      <w:r w:rsidR="0049010A">
        <w:t xml:space="preserve"> asked that </w:t>
      </w:r>
      <w:r w:rsidR="003F5500">
        <w:t xml:space="preserve">the policy also be applied to vendor checks and not just payroll. </w:t>
      </w:r>
    </w:p>
    <w:p w:rsidR="005F7E48" w:rsidRDefault="005F7E48" w:rsidP="0049010A">
      <w:pPr>
        <w:pStyle w:val="ListParagraph"/>
        <w:numPr>
          <w:ilvl w:val="1"/>
          <w:numId w:val="1"/>
        </w:numPr>
        <w:spacing w:after="160" w:line="259" w:lineRule="auto"/>
      </w:pPr>
      <w:r>
        <w:t>Ms. Stephens</w:t>
      </w:r>
      <w:r w:rsidR="0049010A">
        <w:t xml:space="preserve"> a</w:t>
      </w:r>
      <w:r>
        <w:t xml:space="preserve">greed with the Marine Corps in the recommendation to change the language in the position paper to reflect all types of checks. </w:t>
      </w:r>
    </w:p>
    <w:p w:rsidR="005F7E48" w:rsidRDefault="005F7E48" w:rsidP="0049010A">
      <w:pPr>
        <w:pStyle w:val="ListParagraph"/>
        <w:numPr>
          <w:ilvl w:val="1"/>
          <w:numId w:val="1"/>
        </w:numPr>
        <w:spacing w:after="160" w:line="259" w:lineRule="auto"/>
      </w:pPr>
      <w:r>
        <w:t xml:space="preserve">Mr. Blain </w:t>
      </w:r>
      <w:r w:rsidR="0093229C">
        <w:t>advised the paper can</w:t>
      </w:r>
      <w:r>
        <w:t xml:space="preserve"> be changed to reflect all checks. </w:t>
      </w:r>
    </w:p>
    <w:p w:rsidR="005F7E48" w:rsidRDefault="005F7E48" w:rsidP="005F7E48">
      <w:pPr>
        <w:pStyle w:val="ListParagraph"/>
        <w:numPr>
          <w:ilvl w:val="1"/>
          <w:numId w:val="1"/>
        </w:numPr>
        <w:spacing w:after="160" w:line="259" w:lineRule="auto"/>
      </w:pPr>
      <w:r>
        <w:lastRenderedPageBreak/>
        <w:t>Ms. Lipko</w:t>
      </w:r>
      <w:r w:rsidR="0049010A">
        <w:t xml:space="preserve"> </w:t>
      </w:r>
      <w:r>
        <w:t xml:space="preserve">noted the Air Force currently does not have a one year basis but they will review the recommendation and provide feedback. </w:t>
      </w:r>
    </w:p>
    <w:p w:rsidR="005F7E48" w:rsidRDefault="005F7E48" w:rsidP="005F7E48">
      <w:pPr>
        <w:pStyle w:val="ListParagraph"/>
        <w:numPr>
          <w:ilvl w:val="1"/>
          <w:numId w:val="1"/>
        </w:numPr>
        <w:spacing w:after="160" w:line="259" w:lineRule="auto"/>
      </w:pPr>
      <w:r>
        <w:t xml:space="preserve">All other services concurred with the recommendation as long as the language was changed to incorporate all types of stale checks. </w:t>
      </w:r>
      <w:r w:rsidR="0093229C">
        <w:t xml:space="preserve">  </w:t>
      </w:r>
    </w:p>
    <w:p w:rsidR="005F7E48" w:rsidRPr="00C8730B" w:rsidRDefault="005F7E48" w:rsidP="005F7E48">
      <w:pPr>
        <w:pStyle w:val="ListParagraph"/>
        <w:numPr>
          <w:ilvl w:val="0"/>
          <w:numId w:val="18"/>
        </w:numPr>
      </w:pPr>
      <w:r>
        <w:t xml:space="preserve">Due to time constraints, Mr. Blain ended the position paper discussion and </w:t>
      </w:r>
      <w:r w:rsidRPr="00C8730B">
        <w:t>thanked the Services for the feedback received and noted that the current discrepancies</w:t>
      </w:r>
      <w:r>
        <w:t xml:space="preserve"> can be resolved with review and adjustments of accounting procedures. </w:t>
      </w:r>
    </w:p>
    <w:p w:rsidR="00A34878" w:rsidRPr="00C8730B" w:rsidRDefault="00A34878" w:rsidP="00D50F2B"/>
    <w:p w:rsidR="00F74D53" w:rsidRPr="00C8730B" w:rsidRDefault="007D7EB2" w:rsidP="00F74D53">
      <w:pPr>
        <w:rPr>
          <w:b/>
          <w:u w:val="single"/>
        </w:rPr>
      </w:pPr>
      <w:r w:rsidRPr="00C8730B">
        <w:rPr>
          <w:b/>
          <w:u w:val="single"/>
        </w:rPr>
        <w:t xml:space="preserve">Wrap-up </w:t>
      </w:r>
      <w:r w:rsidR="00A34878" w:rsidRPr="00C8730B">
        <w:rPr>
          <w:b/>
          <w:u w:val="single"/>
        </w:rPr>
        <w:t>&amp; Ac</w:t>
      </w:r>
      <w:r w:rsidR="00D50F2B">
        <w:rPr>
          <w:b/>
          <w:u w:val="single"/>
        </w:rPr>
        <w:t>tion Items – Mr. Mike Curtis</w:t>
      </w:r>
      <w:r w:rsidRPr="00C8730B">
        <w:rPr>
          <w:b/>
          <w:u w:val="single"/>
        </w:rPr>
        <w:t>, MWR &amp; Resale Policy</w:t>
      </w:r>
    </w:p>
    <w:p w:rsidR="00D50F2B" w:rsidRDefault="00D50F2B" w:rsidP="00F74D53">
      <w:pPr>
        <w:pStyle w:val="ListParagraph"/>
        <w:numPr>
          <w:ilvl w:val="0"/>
          <w:numId w:val="18"/>
        </w:numPr>
      </w:pPr>
      <w:r>
        <w:t xml:space="preserve">Mr. Justin Hall of OSD </w:t>
      </w:r>
      <w:r w:rsidR="00375E14">
        <w:t>ended the working group discussion by pro</w:t>
      </w:r>
      <w:r w:rsidR="0093229C">
        <w:t>viding the services an update on</w:t>
      </w:r>
      <w:r w:rsidR="00375E14">
        <w:t xml:space="preserve"> the recent </w:t>
      </w:r>
      <w:r w:rsidR="0093229C">
        <w:t xml:space="preserve">Activity </w:t>
      </w:r>
      <w:r w:rsidR="0049010A">
        <w:t xml:space="preserve">Net </w:t>
      </w:r>
      <w:r w:rsidR="0093229C">
        <w:t xml:space="preserve">Loss </w:t>
      </w:r>
      <w:r w:rsidR="0049010A">
        <w:t>data call that was tasked in CATMS</w:t>
      </w:r>
      <w:r w:rsidR="00375E14">
        <w:t xml:space="preserve">. </w:t>
      </w:r>
    </w:p>
    <w:p w:rsidR="00375E14" w:rsidRDefault="0093229C" w:rsidP="0049010A">
      <w:pPr>
        <w:pStyle w:val="ListParagraph"/>
        <w:numPr>
          <w:ilvl w:val="0"/>
          <w:numId w:val="18"/>
        </w:numPr>
      </w:pPr>
      <w:r>
        <w:t xml:space="preserve">A data call was sent to the Secretariats requesting data on CAT B and C activities that had net losses in the last five years. The goal of the data call is to better understand why CAT B and C activities are losing money.  </w:t>
      </w:r>
      <w:r w:rsidR="00375E14">
        <w:t xml:space="preserve"> Mr. Hall asked the ser</w:t>
      </w:r>
      <w:r>
        <w:t xml:space="preserve">vices to review and provide </w:t>
      </w:r>
      <w:r w:rsidR="00375E14">
        <w:t xml:space="preserve">feedback on ways to make the data call easier for </w:t>
      </w:r>
      <w:r>
        <w:t xml:space="preserve">the services to produce. </w:t>
      </w:r>
    </w:p>
    <w:p w:rsidR="00375E14" w:rsidRDefault="00375E14" w:rsidP="00375E14">
      <w:pPr>
        <w:pStyle w:val="ListParagraph"/>
        <w:numPr>
          <w:ilvl w:val="0"/>
          <w:numId w:val="18"/>
        </w:numPr>
      </w:pPr>
      <w:r>
        <w:t>Mr. Curtis</w:t>
      </w:r>
      <w:r w:rsidR="0049010A">
        <w:t xml:space="preserve"> also</w:t>
      </w:r>
      <w:r>
        <w:t xml:space="preserve"> asked the services to provide feedback and improvements to the Program Metric Report f</w:t>
      </w:r>
      <w:r w:rsidR="0049010A">
        <w:t>or next working group meeting in November.</w:t>
      </w:r>
      <w:r>
        <w:t xml:space="preserve"> </w:t>
      </w:r>
    </w:p>
    <w:p w:rsidR="0049010A" w:rsidRDefault="0049010A" w:rsidP="00F74D53">
      <w:pPr>
        <w:rPr>
          <w:b/>
          <w:u w:val="single"/>
        </w:rPr>
      </w:pPr>
    </w:p>
    <w:p w:rsidR="00F74D53" w:rsidRDefault="00F74D53" w:rsidP="00F74D53">
      <w:pPr>
        <w:rPr>
          <w:b/>
          <w:u w:val="single"/>
        </w:rPr>
      </w:pPr>
      <w:r w:rsidRPr="00C8730B">
        <w:rPr>
          <w:b/>
          <w:u w:val="single"/>
        </w:rPr>
        <w:t>Action items</w:t>
      </w:r>
    </w:p>
    <w:p w:rsidR="00E20265" w:rsidRPr="00E20265" w:rsidRDefault="00E20265" w:rsidP="00E20265">
      <w:pPr>
        <w:pStyle w:val="ListParagraph"/>
        <w:numPr>
          <w:ilvl w:val="0"/>
          <w:numId w:val="22"/>
        </w:numPr>
        <w:rPr>
          <w:b/>
          <w:u w:val="single"/>
        </w:rPr>
      </w:pPr>
      <w:r>
        <w:t>Grant Thornton to draft initial list of Common Support costs for Service review</w:t>
      </w:r>
      <w:r w:rsidR="0049010A">
        <w:t>.</w:t>
      </w:r>
    </w:p>
    <w:p w:rsidR="00A866B0" w:rsidRPr="00C8730B" w:rsidRDefault="00C42D83" w:rsidP="00E20265">
      <w:pPr>
        <w:pStyle w:val="ListParagraph"/>
        <w:numPr>
          <w:ilvl w:val="0"/>
          <w:numId w:val="18"/>
        </w:numPr>
      </w:pPr>
      <w:r>
        <w:t xml:space="preserve">Position papers requesting </w:t>
      </w:r>
      <w:r w:rsidR="00725D4E">
        <w:t xml:space="preserve">additional feedback from </w:t>
      </w:r>
      <w:r w:rsidR="00E20265">
        <w:t xml:space="preserve">the services: </w:t>
      </w:r>
      <w:r w:rsidR="00725D4E">
        <w:t>Depreciation Allocation</w:t>
      </w:r>
      <w:r w:rsidR="007F0F90">
        <w:t xml:space="preserve"> (#17)</w:t>
      </w:r>
      <w:r w:rsidR="00725D4E">
        <w:t>, Workers Compen</w:t>
      </w:r>
      <w:r w:rsidR="00E20265">
        <w:t>sation</w:t>
      </w:r>
      <w:r w:rsidR="007F0F90">
        <w:t xml:space="preserve"> (#18)</w:t>
      </w:r>
      <w:r w:rsidR="00E20265">
        <w:t>, Flexible Spending Plans</w:t>
      </w:r>
      <w:r w:rsidR="007F0F90">
        <w:t xml:space="preserve"> (#30)</w:t>
      </w:r>
      <w:r w:rsidR="00E20265">
        <w:t>, Recycling</w:t>
      </w:r>
      <w:r w:rsidR="007F0F90">
        <w:t xml:space="preserve"> (#32)</w:t>
      </w:r>
      <w:r w:rsidR="00E20265">
        <w:t>,</w:t>
      </w:r>
      <w:r w:rsidR="007F0F90">
        <w:t xml:space="preserve"> and</w:t>
      </w:r>
      <w:r w:rsidR="00E20265">
        <w:t xml:space="preserve"> Stale Checks</w:t>
      </w:r>
      <w:r w:rsidR="007F0F90">
        <w:t xml:space="preserve"> (#33).</w:t>
      </w:r>
    </w:p>
    <w:sectPr w:rsidR="00A866B0" w:rsidRPr="00C8730B" w:rsidSect="00F113B3">
      <w:headerReference w:type="default" r:id="rId8"/>
      <w:footerReference w:type="default" r:id="rId9"/>
      <w:pgSz w:w="12240" w:h="15840" w:code="1"/>
      <w:pgMar w:top="821" w:right="1138" w:bottom="1620" w:left="1985" w:header="86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C2C" w:rsidRDefault="00FC5C2C">
      <w:r>
        <w:separator/>
      </w:r>
    </w:p>
  </w:endnote>
  <w:endnote w:type="continuationSeparator" w:id="0">
    <w:p w:rsidR="00FC5C2C" w:rsidRDefault="00FC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477004"/>
      <w:docPartObj>
        <w:docPartGallery w:val="Page Numbers (Bottom of Page)"/>
        <w:docPartUnique/>
      </w:docPartObj>
    </w:sdtPr>
    <w:sdtEndPr>
      <w:rPr>
        <w:noProof/>
      </w:rPr>
    </w:sdtEndPr>
    <w:sdtContent>
      <w:p w:rsidR="00653D29" w:rsidRDefault="00653D29">
        <w:pPr>
          <w:pStyle w:val="Footer"/>
          <w:jc w:val="right"/>
        </w:pPr>
        <w:r>
          <w:fldChar w:fldCharType="begin"/>
        </w:r>
        <w:r>
          <w:instrText xml:space="preserve"> PAGE   \* MERGEFORMAT </w:instrText>
        </w:r>
        <w:r>
          <w:fldChar w:fldCharType="separate"/>
        </w:r>
        <w:r w:rsidR="007F01A6">
          <w:rPr>
            <w:noProof/>
          </w:rPr>
          <w:t>1</w:t>
        </w:r>
        <w:r>
          <w:rPr>
            <w:noProof/>
          </w:rPr>
          <w:fldChar w:fldCharType="end"/>
        </w:r>
      </w:p>
    </w:sdtContent>
  </w:sdt>
  <w:p w:rsidR="00170037" w:rsidRPr="007710D2" w:rsidRDefault="007F01A6">
    <w:pPr>
      <w:pStyle w:val="Footer"/>
      <w:rPr>
        <w:rFonts w:ascii="Calibri" w:hAnsi="Calibr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C2C" w:rsidRDefault="00FC5C2C">
      <w:r>
        <w:separator/>
      </w:r>
    </w:p>
  </w:footnote>
  <w:footnote w:type="continuationSeparator" w:id="0">
    <w:p w:rsidR="00FC5C2C" w:rsidRDefault="00FC5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49" w:rsidRDefault="001B00C5" w:rsidP="006C4A49">
    <w:pPr>
      <w:jc w:val="center"/>
      <w:rPr>
        <w:b/>
        <w:sz w:val="28"/>
      </w:rPr>
    </w:pPr>
    <w:r w:rsidRPr="001B00C5">
      <w:rPr>
        <w:noProof/>
        <w:sz w:val="28"/>
      </w:rPr>
      <mc:AlternateContent>
        <mc:Choice Requires="wps">
          <w:drawing>
            <wp:anchor distT="0" distB="0" distL="114300" distR="114300" simplePos="0" relativeHeight="251660288" behindDoc="0" locked="0" layoutInCell="1" allowOverlap="1" wp14:anchorId="2932382C" wp14:editId="47055D91">
              <wp:simplePos x="0" y="0"/>
              <wp:positionH relativeFrom="margin">
                <wp:posOffset>-1905</wp:posOffset>
              </wp:positionH>
              <wp:positionV relativeFrom="paragraph">
                <wp:posOffset>-355600</wp:posOffset>
              </wp:positionV>
              <wp:extent cx="5743575" cy="9525"/>
              <wp:effectExtent l="19050" t="38100" r="47625" b="4762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a:ln w="666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201945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8pt" to="452.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j44gEAACEEAAAOAAAAZHJzL2Uyb0RvYy54bWysU8GO0zAQvSPxD5bvNGkgXYia7qGr5YKg&#10;YpcP8Dp2Y2F7LNs06d8zdtJ0tSAhEBcntue9mfdmvL0djSYn4YMC29L1qqREWA6dsseWfnu8f/Oe&#10;khCZ7ZgGK1p6FoHe7l6/2g6uERX0oDvhCZLY0AyupX2MrimKwHthWFiBExYvJXjDIm79seg8G5Dd&#10;6KIqy00xgO+cBy5CwNO76ZLuMr+UgscvUgYRiW4p1hbz6vP6lNZit2XN0TPXKz6Xwf6hCsOUxaQL&#10;1R2LjPzw6hcqo7iHADKuOJgCpFRcZA2oZl2+UPPQMyeyFjQnuMWm8P9o+efTwRPVtbSixDKDLXqI&#10;nqljH8kerEUDwZMq+TS40GD43h78vAvu4JPoUXqTviiHjNnb8+KtGCPheFjfvHtb39SUcLz7UFd1&#10;oiyuWOdD/CjAkPTTUq1sUs4advoU4hR6CUnH2pKhpZvNJlMahwIitvD7Yz83IoBW3b3SOkXncRJ7&#10;7cmJ4SDEcT1nfxaFtWiLJSWZk7D8F89aTAm/ColGoZR1LuwFJ+Nc2Hjh1RajE0xiBQuw/DNwjk9Q&#10;kcf3b8ALImcGGxewURb877JfrZBT/MWBSXey4Am6c255tgbnMPdtfjNp0J/vM/z6snc/AQAA//8D&#10;AFBLAwQUAAYACAAAACEAtLtNANwAAAAJAQAADwAAAGRycy9kb3ducmV2LnhtbEyPwU7DQAxE70j8&#10;w8pI3NoNJYlKyKYCJG5IqCkf4GZNEsh6o+ymDX+Pe4KTZc9o/KbcLW5QJ5pC79nA3ToBRdx423Nr&#10;4OPwutqCChHZ4uCZDPxQgF11fVViYf2Z93SqY6skhEOBBroYx0Lr0HTkMKz9SCzap58cRlmnVtsJ&#10;zxLuBr1Jklw77Fk+dDjSS0fNdz07A/tD/eXabO7fMc/Tfnl+izVtjbm9WZ4eQUVa4p8ZLviCDpUw&#10;Hf3MNqjBwOpejDKyXCqJ/pCkG1DHyyXNQFel/t+g+gUAAP//AwBQSwECLQAUAAYACAAAACEAtoM4&#10;kv4AAADhAQAAEwAAAAAAAAAAAAAAAAAAAAAAW0NvbnRlbnRfVHlwZXNdLnhtbFBLAQItABQABgAI&#10;AAAAIQA4/SH/1gAAAJQBAAALAAAAAAAAAAAAAAAAAC8BAABfcmVscy8ucmVsc1BLAQItABQABgAI&#10;AAAAIQA02Tj44gEAACEEAAAOAAAAAAAAAAAAAAAAAC4CAABkcnMvZTJvRG9jLnhtbFBLAQItABQA&#10;BgAIAAAAIQC0u00A3AAAAAkBAAAPAAAAAAAAAAAAAAAAADwEAABkcnMvZG93bnJldi54bWxQSwUG&#10;AAAAAAQABADzAAAARQUAAAAA&#10;" strokecolor="black [3213]" strokeweight="5.25pt">
              <v:stroke linestyle="thickThin" joinstyle="miter"/>
              <w10:wrap anchorx="margin"/>
            </v:line>
          </w:pict>
        </mc:Fallback>
      </mc:AlternateContent>
    </w:r>
    <w:r w:rsidRPr="001B00C5">
      <w:rPr>
        <w:noProof/>
        <w:sz w:val="28"/>
      </w:rPr>
      <w:drawing>
        <wp:anchor distT="0" distB="0" distL="114300" distR="114300" simplePos="0" relativeHeight="251662336" behindDoc="1" locked="0" layoutInCell="1" allowOverlap="1" wp14:anchorId="07CB5533" wp14:editId="3A451A10">
          <wp:simplePos x="0" y="0"/>
          <wp:positionH relativeFrom="page">
            <wp:posOffset>38100</wp:posOffset>
          </wp:positionH>
          <wp:positionV relativeFrom="paragraph">
            <wp:posOffset>-488950</wp:posOffset>
          </wp:positionV>
          <wp:extent cx="1095375" cy="1095375"/>
          <wp:effectExtent l="0" t="0" r="9525" b="9525"/>
          <wp:wrapTight wrapText="left">
            <wp:wrapPolygon edited="0">
              <wp:start x="0" y="0"/>
              <wp:lineTo x="0" y="21412"/>
              <wp:lineTo x="21412" y="21412"/>
              <wp:lineTo x="2141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pic:spPr>
              </pic:pic>
            </a:graphicData>
          </a:graphic>
          <wp14:sizeRelH relativeFrom="margin">
            <wp14:pctWidth>0</wp14:pctWidth>
          </wp14:sizeRelH>
          <wp14:sizeRelV relativeFrom="margin">
            <wp14:pctHeight>0</wp14:pctHeight>
          </wp14:sizeRelV>
        </wp:anchor>
      </w:drawing>
    </w:r>
    <w:r>
      <w:rPr>
        <w:b/>
        <w:sz w:val="28"/>
      </w:rPr>
      <w:t>D</w:t>
    </w:r>
    <w:r w:rsidR="006C4A49">
      <w:rPr>
        <w:b/>
        <w:sz w:val="28"/>
      </w:rPr>
      <w:t xml:space="preserve">oD </w:t>
    </w:r>
    <w:r w:rsidR="006C4A49" w:rsidRPr="00091720">
      <w:rPr>
        <w:b/>
        <w:sz w:val="28"/>
      </w:rPr>
      <w:t xml:space="preserve">NAF Accounting Working Group </w:t>
    </w:r>
  </w:p>
  <w:p w:rsidR="006C4A49" w:rsidRPr="00091720" w:rsidRDefault="006C4A49" w:rsidP="006C4A49">
    <w:pPr>
      <w:jc w:val="center"/>
      <w:rPr>
        <w:b/>
        <w:sz w:val="28"/>
      </w:rPr>
    </w:pPr>
    <w:r w:rsidRPr="00091720">
      <w:rPr>
        <w:b/>
        <w:sz w:val="28"/>
      </w:rPr>
      <w:t>Meeting Minutes</w:t>
    </w:r>
  </w:p>
  <w:p w:rsidR="006C4A49" w:rsidRPr="00091720" w:rsidRDefault="006C4A49" w:rsidP="006C4A49">
    <w:pPr>
      <w:jc w:val="center"/>
    </w:pPr>
    <w:r w:rsidRPr="00091720">
      <w:t xml:space="preserve">Thursday, </w:t>
    </w:r>
    <w:r w:rsidR="00BC0013">
      <w:t>October 25</w:t>
    </w:r>
    <w:r>
      <w:t>th, 2018</w:t>
    </w:r>
  </w:p>
  <w:p w:rsidR="006C4A49" w:rsidRPr="00960898" w:rsidRDefault="00286F41" w:rsidP="006C4A49">
    <w:pPr>
      <w:jc w:val="center"/>
    </w:pPr>
    <w:r>
      <w:t>0900-103</w:t>
    </w:r>
    <w:r w:rsidR="006C4A49" w:rsidRPr="00091720">
      <w:t>0 EDT</w:t>
    </w:r>
  </w:p>
  <w:p w:rsidR="00A17181" w:rsidRPr="001B00C5" w:rsidRDefault="00A17181" w:rsidP="006C4A49">
    <w:pP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B4266"/>
    <w:multiLevelType w:val="hybridMultilevel"/>
    <w:tmpl w:val="A86A6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0275B"/>
    <w:multiLevelType w:val="hybridMultilevel"/>
    <w:tmpl w:val="EAA685AE"/>
    <w:lvl w:ilvl="0" w:tplc="C0C0F7BE">
      <w:start w:val="1"/>
      <w:numFmt w:val="bullet"/>
      <w:lvlText w:val=""/>
      <w:lvlJc w:val="left"/>
      <w:pPr>
        <w:ind w:left="810" w:hanging="45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37F72"/>
    <w:multiLevelType w:val="hybridMultilevel"/>
    <w:tmpl w:val="B2029E92"/>
    <w:lvl w:ilvl="0" w:tplc="58D8D944">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 w15:restartNumberingAfterBreak="0">
    <w:nsid w:val="1B3F6A31"/>
    <w:multiLevelType w:val="hybridMultilevel"/>
    <w:tmpl w:val="5654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A7148"/>
    <w:multiLevelType w:val="hybridMultilevel"/>
    <w:tmpl w:val="7AD24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B93D13"/>
    <w:multiLevelType w:val="hybridMultilevel"/>
    <w:tmpl w:val="71E4B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716FB"/>
    <w:multiLevelType w:val="hybridMultilevel"/>
    <w:tmpl w:val="909A00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4A523F"/>
    <w:multiLevelType w:val="hybridMultilevel"/>
    <w:tmpl w:val="D7C679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5DF3628"/>
    <w:multiLevelType w:val="hybridMultilevel"/>
    <w:tmpl w:val="AEA443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FD2E17"/>
    <w:multiLevelType w:val="hybridMultilevel"/>
    <w:tmpl w:val="44780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125CC"/>
    <w:multiLevelType w:val="hybridMultilevel"/>
    <w:tmpl w:val="C5CA4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83CCC"/>
    <w:multiLevelType w:val="hybridMultilevel"/>
    <w:tmpl w:val="9EC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A4EFB"/>
    <w:multiLevelType w:val="hybridMultilevel"/>
    <w:tmpl w:val="68026E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47B92"/>
    <w:multiLevelType w:val="hybridMultilevel"/>
    <w:tmpl w:val="C91CB6BC"/>
    <w:lvl w:ilvl="0" w:tplc="D5801938">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52E55"/>
    <w:multiLevelType w:val="hybridMultilevel"/>
    <w:tmpl w:val="C6C2A9AE"/>
    <w:lvl w:ilvl="0" w:tplc="388826E0">
      <w:start w:val="1"/>
      <w:numFmt w:val="decimal"/>
      <w:lvlText w:val="%1."/>
      <w:lvlJc w:val="left"/>
      <w:pPr>
        <w:ind w:left="-450" w:hanging="360"/>
      </w:pPr>
    </w:lvl>
    <w:lvl w:ilvl="1" w:tplc="04090019">
      <w:start w:val="1"/>
      <w:numFmt w:val="lowerLetter"/>
      <w:lvlText w:val="%2."/>
      <w:lvlJc w:val="left"/>
      <w:pPr>
        <w:ind w:left="270" w:hanging="360"/>
      </w:pPr>
    </w:lvl>
    <w:lvl w:ilvl="2" w:tplc="0409001B">
      <w:start w:val="1"/>
      <w:numFmt w:val="lowerRoman"/>
      <w:lvlText w:val="%3."/>
      <w:lvlJc w:val="right"/>
      <w:pPr>
        <w:ind w:left="990" w:hanging="180"/>
      </w:pPr>
    </w:lvl>
    <w:lvl w:ilvl="3" w:tplc="0409000F">
      <w:start w:val="1"/>
      <w:numFmt w:val="decimal"/>
      <w:lvlText w:val="%4."/>
      <w:lvlJc w:val="left"/>
      <w:pPr>
        <w:ind w:left="1710" w:hanging="360"/>
      </w:pPr>
    </w:lvl>
    <w:lvl w:ilvl="4" w:tplc="04090019">
      <w:start w:val="1"/>
      <w:numFmt w:val="lowerLetter"/>
      <w:lvlText w:val="%5."/>
      <w:lvlJc w:val="left"/>
      <w:pPr>
        <w:ind w:left="2430" w:hanging="360"/>
      </w:pPr>
    </w:lvl>
    <w:lvl w:ilvl="5" w:tplc="0409001B">
      <w:start w:val="1"/>
      <w:numFmt w:val="lowerRoman"/>
      <w:lvlText w:val="%6."/>
      <w:lvlJc w:val="right"/>
      <w:pPr>
        <w:ind w:left="3150" w:hanging="180"/>
      </w:pPr>
    </w:lvl>
    <w:lvl w:ilvl="6" w:tplc="0409000F">
      <w:start w:val="1"/>
      <w:numFmt w:val="decimal"/>
      <w:lvlText w:val="%7."/>
      <w:lvlJc w:val="left"/>
      <w:pPr>
        <w:ind w:left="3870" w:hanging="360"/>
      </w:pPr>
    </w:lvl>
    <w:lvl w:ilvl="7" w:tplc="04090019">
      <w:start w:val="1"/>
      <w:numFmt w:val="lowerLetter"/>
      <w:lvlText w:val="%8."/>
      <w:lvlJc w:val="left"/>
      <w:pPr>
        <w:ind w:left="4590" w:hanging="360"/>
      </w:pPr>
    </w:lvl>
    <w:lvl w:ilvl="8" w:tplc="0409001B">
      <w:start w:val="1"/>
      <w:numFmt w:val="lowerRoman"/>
      <w:lvlText w:val="%9."/>
      <w:lvlJc w:val="right"/>
      <w:pPr>
        <w:ind w:left="5310" w:hanging="180"/>
      </w:pPr>
    </w:lvl>
  </w:abstractNum>
  <w:abstractNum w:abstractNumId="16" w15:restartNumberingAfterBreak="0">
    <w:nsid w:val="65EF42B9"/>
    <w:multiLevelType w:val="hybridMultilevel"/>
    <w:tmpl w:val="EDB4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E2573"/>
    <w:multiLevelType w:val="hybridMultilevel"/>
    <w:tmpl w:val="B06C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D595E"/>
    <w:multiLevelType w:val="hybridMultilevel"/>
    <w:tmpl w:val="9204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C1A75"/>
    <w:multiLevelType w:val="hybridMultilevel"/>
    <w:tmpl w:val="86CCE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6"/>
  </w:num>
  <w:num w:numId="5">
    <w:abstractNumId w:val="6"/>
  </w:num>
  <w:num w:numId="6">
    <w:abstractNumId w:val="8"/>
  </w:num>
  <w:num w:numId="7">
    <w:abstractNumId w:val="18"/>
  </w:num>
  <w:num w:numId="8">
    <w:abstractNumId w:val="13"/>
  </w:num>
  <w:num w:numId="9">
    <w:abstractNumId w:val="14"/>
  </w:num>
  <w:num w:numId="10">
    <w:abstractNumId w:val="2"/>
  </w:num>
  <w:num w:numId="11">
    <w:abstractNumId w:val="11"/>
  </w:num>
  <w:num w:numId="12">
    <w:abstractNumId w:val="9"/>
  </w:num>
  <w:num w:numId="13">
    <w:abstractNumId w:val="12"/>
  </w:num>
  <w:num w:numId="14">
    <w:abstractNumId w:val="2"/>
  </w:num>
  <w:num w:numId="15">
    <w:abstractNumId w:val="4"/>
  </w:num>
  <w:num w:numId="16">
    <w:abstractNumId w:val="1"/>
  </w:num>
  <w:num w:numId="17">
    <w:abstractNumId w:val="19"/>
  </w:num>
  <w:num w:numId="18">
    <w:abstractNumId w:val="10"/>
  </w:num>
  <w:num w:numId="19">
    <w:abstractNumId w:val="3"/>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E8"/>
    <w:rsid w:val="00002FE0"/>
    <w:rsid w:val="0001180D"/>
    <w:rsid w:val="00012309"/>
    <w:rsid w:val="00021461"/>
    <w:rsid w:val="00027216"/>
    <w:rsid w:val="0003708A"/>
    <w:rsid w:val="000370A8"/>
    <w:rsid w:val="00043E58"/>
    <w:rsid w:val="00045963"/>
    <w:rsid w:val="000463DC"/>
    <w:rsid w:val="0004644F"/>
    <w:rsid w:val="00055F07"/>
    <w:rsid w:val="00064ED7"/>
    <w:rsid w:val="00066E59"/>
    <w:rsid w:val="00072C6A"/>
    <w:rsid w:val="00077E06"/>
    <w:rsid w:val="00083A47"/>
    <w:rsid w:val="000A4F8A"/>
    <w:rsid w:val="000B60F6"/>
    <w:rsid w:val="000C4C07"/>
    <w:rsid w:val="000D2EF0"/>
    <w:rsid w:val="000D3CC8"/>
    <w:rsid w:val="000D4317"/>
    <w:rsid w:val="000D4686"/>
    <w:rsid w:val="000D48C4"/>
    <w:rsid w:val="000D7ED3"/>
    <w:rsid w:val="000D7F0D"/>
    <w:rsid w:val="000F05FD"/>
    <w:rsid w:val="000F307D"/>
    <w:rsid w:val="00114A1C"/>
    <w:rsid w:val="00120471"/>
    <w:rsid w:val="00120EF3"/>
    <w:rsid w:val="00127EF6"/>
    <w:rsid w:val="001335D8"/>
    <w:rsid w:val="00134DB3"/>
    <w:rsid w:val="00134E9F"/>
    <w:rsid w:val="0014290F"/>
    <w:rsid w:val="00142E4F"/>
    <w:rsid w:val="0014724A"/>
    <w:rsid w:val="00172B51"/>
    <w:rsid w:val="001842B1"/>
    <w:rsid w:val="00190290"/>
    <w:rsid w:val="001943F4"/>
    <w:rsid w:val="001946A0"/>
    <w:rsid w:val="00196206"/>
    <w:rsid w:val="001A2A44"/>
    <w:rsid w:val="001A640F"/>
    <w:rsid w:val="001B00C5"/>
    <w:rsid w:val="001B13B5"/>
    <w:rsid w:val="001E6DE3"/>
    <w:rsid w:val="001F4C0F"/>
    <w:rsid w:val="001F6496"/>
    <w:rsid w:val="001F7F75"/>
    <w:rsid w:val="0020164D"/>
    <w:rsid w:val="002021AC"/>
    <w:rsid w:val="002038D5"/>
    <w:rsid w:val="002068BC"/>
    <w:rsid w:val="00210B22"/>
    <w:rsid w:val="002158AA"/>
    <w:rsid w:val="00224C5E"/>
    <w:rsid w:val="00227F69"/>
    <w:rsid w:val="00231FC8"/>
    <w:rsid w:val="00234906"/>
    <w:rsid w:val="00243878"/>
    <w:rsid w:val="00252E14"/>
    <w:rsid w:val="002718A7"/>
    <w:rsid w:val="002744C4"/>
    <w:rsid w:val="00280073"/>
    <w:rsid w:val="0028025A"/>
    <w:rsid w:val="00280853"/>
    <w:rsid w:val="00286F41"/>
    <w:rsid w:val="002879A9"/>
    <w:rsid w:val="002A05CB"/>
    <w:rsid w:val="002A21C8"/>
    <w:rsid w:val="002B1A8D"/>
    <w:rsid w:val="002B3F7D"/>
    <w:rsid w:val="002C2F22"/>
    <w:rsid w:val="002D1D3C"/>
    <w:rsid w:val="002D69C1"/>
    <w:rsid w:val="002E76D9"/>
    <w:rsid w:val="002F620A"/>
    <w:rsid w:val="0030657B"/>
    <w:rsid w:val="0031019E"/>
    <w:rsid w:val="0031230A"/>
    <w:rsid w:val="003358B9"/>
    <w:rsid w:val="003445A0"/>
    <w:rsid w:val="003505E5"/>
    <w:rsid w:val="003516F4"/>
    <w:rsid w:val="0036482D"/>
    <w:rsid w:val="00375753"/>
    <w:rsid w:val="00375E14"/>
    <w:rsid w:val="003A299C"/>
    <w:rsid w:val="003A3851"/>
    <w:rsid w:val="003A437E"/>
    <w:rsid w:val="003B5FC1"/>
    <w:rsid w:val="003C210D"/>
    <w:rsid w:val="003C5AE4"/>
    <w:rsid w:val="003D05B9"/>
    <w:rsid w:val="003E4441"/>
    <w:rsid w:val="003E5589"/>
    <w:rsid w:val="003F5500"/>
    <w:rsid w:val="003F63B4"/>
    <w:rsid w:val="00403F2B"/>
    <w:rsid w:val="00407DD2"/>
    <w:rsid w:val="00412406"/>
    <w:rsid w:val="004177D5"/>
    <w:rsid w:val="00421F54"/>
    <w:rsid w:val="0043229A"/>
    <w:rsid w:val="004472EC"/>
    <w:rsid w:val="004510CA"/>
    <w:rsid w:val="00460D89"/>
    <w:rsid w:val="004654B7"/>
    <w:rsid w:val="004675F6"/>
    <w:rsid w:val="00473A0E"/>
    <w:rsid w:val="00473CA6"/>
    <w:rsid w:val="004760FF"/>
    <w:rsid w:val="00487A12"/>
    <w:rsid w:val="0049010A"/>
    <w:rsid w:val="004A2BB5"/>
    <w:rsid w:val="004B0F61"/>
    <w:rsid w:val="004E707A"/>
    <w:rsid w:val="004F0206"/>
    <w:rsid w:val="00515595"/>
    <w:rsid w:val="00524211"/>
    <w:rsid w:val="00524DD4"/>
    <w:rsid w:val="00526578"/>
    <w:rsid w:val="00544EAE"/>
    <w:rsid w:val="005469CA"/>
    <w:rsid w:val="005573C6"/>
    <w:rsid w:val="005813A6"/>
    <w:rsid w:val="00582378"/>
    <w:rsid w:val="00583E6C"/>
    <w:rsid w:val="00590389"/>
    <w:rsid w:val="005A132E"/>
    <w:rsid w:val="005B2ED1"/>
    <w:rsid w:val="005D6007"/>
    <w:rsid w:val="005D72E4"/>
    <w:rsid w:val="005F095A"/>
    <w:rsid w:val="005F303D"/>
    <w:rsid w:val="005F39E8"/>
    <w:rsid w:val="005F5759"/>
    <w:rsid w:val="005F7C1E"/>
    <w:rsid w:val="005F7E48"/>
    <w:rsid w:val="006057E9"/>
    <w:rsid w:val="00606A26"/>
    <w:rsid w:val="00623C3D"/>
    <w:rsid w:val="00631DF7"/>
    <w:rsid w:val="00641F3A"/>
    <w:rsid w:val="00644420"/>
    <w:rsid w:val="00653D29"/>
    <w:rsid w:val="006571B8"/>
    <w:rsid w:val="00657990"/>
    <w:rsid w:val="00662CB3"/>
    <w:rsid w:val="006674A3"/>
    <w:rsid w:val="00673A1E"/>
    <w:rsid w:val="006849BF"/>
    <w:rsid w:val="00685306"/>
    <w:rsid w:val="006907EE"/>
    <w:rsid w:val="006913B0"/>
    <w:rsid w:val="006B7839"/>
    <w:rsid w:val="006C4A49"/>
    <w:rsid w:val="006D1886"/>
    <w:rsid w:val="006D5D5A"/>
    <w:rsid w:val="006D6FF3"/>
    <w:rsid w:val="006E08DC"/>
    <w:rsid w:val="006E548D"/>
    <w:rsid w:val="00716E40"/>
    <w:rsid w:val="00717F84"/>
    <w:rsid w:val="00725D4E"/>
    <w:rsid w:val="00751A00"/>
    <w:rsid w:val="00752F8B"/>
    <w:rsid w:val="00762ABB"/>
    <w:rsid w:val="00775CA7"/>
    <w:rsid w:val="0078151E"/>
    <w:rsid w:val="007900B6"/>
    <w:rsid w:val="007A1AE2"/>
    <w:rsid w:val="007B245D"/>
    <w:rsid w:val="007B4433"/>
    <w:rsid w:val="007B69DB"/>
    <w:rsid w:val="007C2BAC"/>
    <w:rsid w:val="007D0F6E"/>
    <w:rsid w:val="007D7EB2"/>
    <w:rsid w:val="007E2459"/>
    <w:rsid w:val="007F01A6"/>
    <w:rsid w:val="007F0F90"/>
    <w:rsid w:val="00802A93"/>
    <w:rsid w:val="00824C06"/>
    <w:rsid w:val="00832F05"/>
    <w:rsid w:val="00833591"/>
    <w:rsid w:val="00851DC0"/>
    <w:rsid w:val="00855FEF"/>
    <w:rsid w:val="00857998"/>
    <w:rsid w:val="00870ADF"/>
    <w:rsid w:val="00880F28"/>
    <w:rsid w:val="00886C52"/>
    <w:rsid w:val="0089518B"/>
    <w:rsid w:val="00897193"/>
    <w:rsid w:val="008A26AD"/>
    <w:rsid w:val="008C42AB"/>
    <w:rsid w:val="008C7A40"/>
    <w:rsid w:val="008D3B49"/>
    <w:rsid w:val="008E2BF5"/>
    <w:rsid w:val="008E7621"/>
    <w:rsid w:val="00904459"/>
    <w:rsid w:val="00916BE0"/>
    <w:rsid w:val="0093229C"/>
    <w:rsid w:val="00933360"/>
    <w:rsid w:val="00936B20"/>
    <w:rsid w:val="00971B2C"/>
    <w:rsid w:val="00994E58"/>
    <w:rsid w:val="009B18D9"/>
    <w:rsid w:val="009C3E51"/>
    <w:rsid w:val="009D1D52"/>
    <w:rsid w:val="009D457F"/>
    <w:rsid w:val="009F32CB"/>
    <w:rsid w:val="00A14F85"/>
    <w:rsid w:val="00A16BC4"/>
    <w:rsid w:val="00A17094"/>
    <w:rsid w:val="00A17181"/>
    <w:rsid w:val="00A34878"/>
    <w:rsid w:val="00A40246"/>
    <w:rsid w:val="00A419D8"/>
    <w:rsid w:val="00A44C2F"/>
    <w:rsid w:val="00A44ED0"/>
    <w:rsid w:val="00A55939"/>
    <w:rsid w:val="00A7026F"/>
    <w:rsid w:val="00A72C91"/>
    <w:rsid w:val="00A74D9A"/>
    <w:rsid w:val="00A866B0"/>
    <w:rsid w:val="00A95DBF"/>
    <w:rsid w:val="00AA08D2"/>
    <w:rsid w:val="00AA5083"/>
    <w:rsid w:val="00AA7572"/>
    <w:rsid w:val="00AA79FE"/>
    <w:rsid w:val="00AB3AC1"/>
    <w:rsid w:val="00AD2BD3"/>
    <w:rsid w:val="00AD5B37"/>
    <w:rsid w:val="00AE0124"/>
    <w:rsid w:val="00AE4E0F"/>
    <w:rsid w:val="00AF0423"/>
    <w:rsid w:val="00AF56DE"/>
    <w:rsid w:val="00B0549E"/>
    <w:rsid w:val="00B20FCB"/>
    <w:rsid w:val="00B233DE"/>
    <w:rsid w:val="00B34A02"/>
    <w:rsid w:val="00B44F95"/>
    <w:rsid w:val="00B54C9F"/>
    <w:rsid w:val="00B629AB"/>
    <w:rsid w:val="00B6621A"/>
    <w:rsid w:val="00B76B42"/>
    <w:rsid w:val="00B86EF8"/>
    <w:rsid w:val="00B902CA"/>
    <w:rsid w:val="00BA0D60"/>
    <w:rsid w:val="00BA25C2"/>
    <w:rsid w:val="00BA63E5"/>
    <w:rsid w:val="00BC0013"/>
    <w:rsid w:val="00BC3BDA"/>
    <w:rsid w:val="00BC4B10"/>
    <w:rsid w:val="00BF0D42"/>
    <w:rsid w:val="00BF2263"/>
    <w:rsid w:val="00C065CF"/>
    <w:rsid w:val="00C07EF9"/>
    <w:rsid w:val="00C149D0"/>
    <w:rsid w:val="00C2653E"/>
    <w:rsid w:val="00C33BE9"/>
    <w:rsid w:val="00C42D83"/>
    <w:rsid w:val="00C516B7"/>
    <w:rsid w:val="00C53B7D"/>
    <w:rsid w:val="00C5527C"/>
    <w:rsid w:val="00C5781A"/>
    <w:rsid w:val="00C61C7B"/>
    <w:rsid w:val="00C634A2"/>
    <w:rsid w:val="00C634F1"/>
    <w:rsid w:val="00C64AA3"/>
    <w:rsid w:val="00C67552"/>
    <w:rsid w:val="00C736C7"/>
    <w:rsid w:val="00C80C62"/>
    <w:rsid w:val="00C8730B"/>
    <w:rsid w:val="00C922D7"/>
    <w:rsid w:val="00C96F20"/>
    <w:rsid w:val="00CB17CB"/>
    <w:rsid w:val="00CC3125"/>
    <w:rsid w:val="00CC51BE"/>
    <w:rsid w:val="00CC6E12"/>
    <w:rsid w:val="00CD18AE"/>
    <w:rsid w:val="00CD2CD0"/>
    <w:rsid w:val="00CD5E07"/>
    <w:rsid w:val="00CD6666"/>
    <w:rsid w:val="00CD6AE1"/>
    <w:rsid w:val="00CE48C2"/>
    <w:rsid w:val="00CF0C24"/>
    <w:rsid w:val="00CF5B84"/>
    <w:rsid w:val="00CF7544"/>
    <w:rsid w:val="00D2391E"/>
    <w:rsid w:val="00D24FFD"/>
    <w:rsid w:val="00D2606B"/>
    <w:rsid w:val="00D2761B"/>
    <w:rsid w:val="00D31017"/>
    <w:rsid w:val="00D4592C"/>
    <w:rsid w:val="00D50F2B"/>
    <w:rsid w:val="00D6453A"/>
    <w:rsid w:val="00D67F23"/>
    <w:rsid w:val="00D72E35"/>
    <w:rsid w:val="00D73545"/>
    <w:rsid w:val="00D76BFA"/>
    <w:rsid w:val="00D90242"/>
    <w:rsid w:val="00D921A4"/>
    <w:rsid w:val="00D94398"/>
    <w:rsid w:val="00D97EBC"/>
    <w:rsid w:val="00DB0375"/>
    <w:rsid w:val="00DB4B07"/>
    <w:rsid w:val="00DB5B75"/>
    <w:rsid w:val="00DC257D"/>
    <w:rsid w:val="00DC3BAB"/>
    <w:rsid w:val="00DC5A6E"/>
    <w:rsid w:val="00DC5DC7"/>
    <w:rsid w:val="00DC74D8"/>
    <w:rsid w:val="00DD1E10"/>
    <w:rsid w:val="00DD525F"/>
    <w:rsid w:val="00DD588A"/>
    <w:rsid w:val="00DD64FF"/>
    <w:rsid w:val="00DE2571"/>
    <w:rsid w:val="00E0013C"/>
    <w:rsid w:val="00E20265"/>
    <w:rsid w:val="00E26922"/>
    <w:rsid w:val="00E30C59"/>
    <w:rsid w:val="00E312FB"/>
    <w:rsid w:val="00E36C24"/>
    <w:rsid w:val="00E371C7"/>
    <w:rsid w:val="00E52208"/>
    <w:rsid w:val="00E52637"/>
    <w:rsid w:val="00E62335"/>
    <w:rsid w:val="00E649CE"/>
    <w:rsid w:val="00E65179"/>
    <w:rsid w:val="00E6530C"/>
    <w:rsid w:val="00E8284F"/>
    <w:rsid w:val="00E83A4F"/>
    <w:rsid w:val="00E83ACB"/>
    <w:rsid w:val="00EB0C39"/>
    <w:rsid w:val="00EB6588"/>
    <w:rsid w:val="00EB7F08"/>
    <w:rsid w:val="00EC5DD0"/>
    <w:rsid w:val="00EC6309"/>
    <w:rsid w:val="00ED1300"/>
    <w:rsid w:val="00EE22A9"/>
    <w:rsid w:val="00EE2FFD"/>
    <w:rsid w:val="00EE55D4"/>
    <w:rsid w:val="00F01E62"/>
    <w:rsid w:val="00F01F53"/>
    <w:rsid w:val="00F075EB"/>
    <w:rsid w:val="00F14660"/>
    <w:rsid w:val="00F25CEA"/>
    <w:rsid w:val="00F3301E"/>
    <w:rsid w:val="00F41616"/>
    <w:rsid w:val="00F46387"/>
    <w:rsid w:val="00F63DD5"/>
    <w:rsid w:val="00F641FE"/>
    <w:rsid w:val="00F70A6C"/>
    <w:rsid w:val="00F74D53"/>
    <w:rsid w:val="00FA093B"/>
    <w:rsid w:val="00FB37E2"/>
    <w:rsid w:val="00FB4D2A"/>
    <w:rsid w:val="00FC3F30"/>
    <w:rsid w:val="00FC5C2C"/>
    <w:rsid w:val="00FC5C79"/>
    <w:rsid w:val="00FD1057"/>
    <w:rsid w:val="00FE04AB"/>
    <w:rsid w:val="00FE5485"/>
    <w:rsid w:val="00FE5C62"/>
    <w:rsid w:val="00FF03C3"/>
    <w:rsid w:val="00FF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8A261BA-4E6E-4256-91B3-BE3FFF6D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9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F39E8"/>
    <w:pPr>
      <w:tabs>
        <w:tab w:val="right" w:pos="8562"/>
      </w:tabs>
      <w:spacing w:after="0" w:line="240" w:lineRule="auto"/>
    </w:pPr>
    <w:rPr>
      <w:rFonts w:ascii="Arial" w:eastAsia="Times New Roman" w:hAnsi="Arial" w:cs="Arial"/>
      <w:b/>
      <w:color w:val="747678"/>
      <w:sz w:val="16"/>
      <w:szCs w:val="20"/>
    </w:rPr>
  </w:style>
  <w:style w:type="character" w:customStyle="1" w:styleId="HeaderChar">
    <w:name w:val="Header Char"/>
    <w:basedOn w:val="DefaultParagraphFont"/>
    <w:link w:val="Header"/>
    <w:rsid w:val="005F39E8"/>
    <w:rPr>
      <w:rFonts w:ascii="Arial" w:eastAsia="Times New Roman" w:hAnsi="Arial" w:cs="Arial"/>
      <w:b/>
      <w:color w:val="747678"/>
      <w:sz w:val="16"/>
      <w:szCs w:val="20"/>
    </w:rPr>
  </w:style>
  <w:style w:type="paragraph" w:styleId="Footer">
    <w:name w:val="footer"/>
    <w:link w:val="FooterChar"/>
    <w:uiPriority w:val="99"/>
    <w:rsid w:val="005F39E8"/>
    <w:pPr>
      <w:tabs>
        <w:tab w:val="center" w:pos="4153"/>
        <w:tab w:val="right" w:pos="8306"/>
      </w:tabs>
      <w:spacing w:after="0" w:line="240" w:lineRule="auto"/>
    </w:pPr>
    <w:rPr>
      <w:rFonts w:ascii="Arial" w:eastAsia="Times New Roman" w:hAnsi="Arial" w:cs="Arial"/>
      <w:b/>
      <w:color w:val="747678"/>
      <w:sz w:val="13"/>
      <w:szCs w:val="20"/>
    </w:rPr>
  </w:style>
  <w:style w:type="character" w:customStyle="1" w:styleId="FooterChar">
    <w:name w:val="Footer Char"/>
    <w:basedOn w:val="DefaultParagraphFont"/>
    <w:link w:val="Footer"/>
    <w:uiPriority w:val="99"/>
    <w:rsid w:val="005F39E8"/>
    <w:rPr>
      <w:rFonts w:ascii="Arial" w:eastAsia="Times New Roman" w:hAnsi="Arial" w:cs="Arial"/>
      <w:b/>
      <w:color w:val="747678"/>
      <w:sz w:val="13"/>
      <w:szCs w:val="20"/>
    </w:rPr>
  </w:style>
  <w:style w:type="paragraph" w:styleId="ListParagraph">
    <w:name w:val="List Paragraph"/>
    <w:basedOn w:val="Normal"/>
    <w:uiPriority w:val="34"/>
    <w:qFormat/>
    <w:rsid w:val="005F39E8"/>
    <w:pPr>
      <w:ind w:left="720"/>
      <w:contextualSpacing/>
    </w:pPr>
  </w:style>
  <w:style w:type="table" w:styleId="TableGrid">
    <w:name w:val="Table Grid"/>
    <w:basedOn w:val="TableNormal"/>
    <w:uiPriority w:val="39"/>
    <w:rsid w:val="0060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B37"/>
    <w:rPr>
      <w:sz w:val="16"/>
      <w:szCs w:val="16"/>
    </w:rPr>
  </w:style>
  <w:style w:type="paragraph" w:styleId="CommentText">
    <w:name w:val="annotation text"/>
    <w:basedOn w:val="Normal"/>
    <w:link w:val="CommentTextChar"/>
    <w:uiPriority w:val="99"/>
    <w:semiHidden/>
    <w:unhideWhenUsed/>
    <w:rsid w:val="00AD5B37"/>
    <w:rPr>
      <w:sz w:val="20"/>
      <w:szCs w:val="20"/>
    </w:rPr>
  </w:style>
  <w:style w:type="character" w:customStyle="1" w:styleId="CommentTextChar">
    <w:name w:val="Comment Text Char"/>
    <w:basedOn w:val="DefaultParagraphFont"/>
    <w:link w:val="CommentText"/>
    <w:uiPriority w:val="99"/>
    <w:semiHidden/>
    <w:rsid w:val="00AD5B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5B37"/>
    <w:rPr>
      <w:b/>
      <w:bCs/>
    </w:rPr>
  </w:style>
  <w:style w:type="character" w:customStyle="1" w:styleId="CommentSubjectChar">
    <w:name w:val="Comment Subject Char"/>
    <w:basedOn w:val="CommentTextChar"/>
    <w:link w:val="CommentSubject"/>
    <w:uiPriority w:val="99"/>
    <w:semiHidden/>
    <w:rsid w:val="00AD5B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5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B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75976">
      <w:bodyDiv w:val="1"/>
      <w:marLeft w:val="0"/>
      <w:marRight w:val="0"/>
      <w:marTop w:val="0"/>
      <w:marBottom w:val="0"/>
      <w:divBdr>
        <w:top w:val="none" w:sz="0" w:space="0" w:color="auto"/>
        <w:left w:val="none" w:sz="0" w:space="0" w:color="auto"/>
        <w:bottom w:val="none" w:sz="0" w:space="0" w:color="auto"/>
        <w:right w:val="none" w:sz="0" w:space="0" w:color="auto"/>
      </w:divBdr>
    </w:div>
    <w:div w:id="775252994">
      <w:bodyDiv w:val="1"/>
      <w:marLeft w:val="0"/>
      <w:marRight w:val="0"/>
      <w:marTop w:val="0"/>
      <w:marBottom w:val="0"/>
      <w:divBdr>
        <w:top w:val="none" w:sz="0" w:space="0" w:color="auto"/>
        <w:left w:val="none" w:sz="0" w:space="0" w:color="auto"/>
        <w:bottom w:val="none" w:sz="0" w:space="0" w:color="auto"/>
        <w:right w:val="none" w:sz="0" w:space="0" w:color="auto"/>
      </w:divBdr>
    </w:div>
    <w:div w:id="993335966">
      <w:bodyDiv w:val="1"/>
      <w:marLeft w:val="0"/>
      <w:marRight w:val="0"/>
      <w:marTop w:val="0"/>
      <w:marBottom w:val="0"/>
      <w:divBdr>
        <w:top w:val="none" w:sz="0" w:space="0" w:color="auto"/>
        <w:left w:val="none" w:sz="0" w:space="0" w:color="auto"/>
        <w:bottom w:val="none" w:sz="0" w:space="0" w:color="auto"/>
        <w:right w:val="none" w:sz="0" w:space="0" w:color="auto"/>
      </w:divBdr>
    </w:div>
    <w:div w:id="1557007127">
      <w:bodyDiv w:val="1"/>
      <w:marLeft w:val="0"/>
      <w:marRight w:val="0"/>
      <w:marTop w:val="0"/>
      <w:marBottom w:val="0"/>
      <w:divBdr>
        <w:top w:val="none" w:sz="0" w:space="0" w:color="auto"/>
        <w:left w:val="none" w:sz="0" w:space="0" w:color="auto"/>
        <w:bottom w:val="none" w:sz="0" w:space="0" w:color="auto"/>
        <w:right w:val="none" w:sz="0" w:space="0" w:color="auto"/>
      </w:divBdr>
    </w:div>
    <w:div w:id="17257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B726F4EB-9709-47FF-B4EA-B4FF0E728952}">
  <ds:schemaRefs>
    <ds:schemaRef ds:uri="http://schemas.openxmlformats.org/officeDocument/2006/bibliography"/>
  </ds:schemaRefs>
</ds:datastoreItem>
</file>

<file path=customXml/itemProps2.xml><?xml version="1.0" encoding="utf-8"?>
<ds:datastoreItem xmlns:ds="http://schemas.openxmlformats.org/officeDocument/2006/customXml" ds:itemID="{4151D882-999E-44E6-91F5-B95EADD023B2}"/>
</file>

<file path=customXml/itemProps3.xml><?xml version="1.0" encoding="utf-8"?>
<ds:datastoreItem xmlns:ds="http://schemas.openxmlformats.org/officeDocument/2006/customXml" ds:itemID="{EE6C19FF-DE34-4835-AA4C-58532CE65BE4}"/>
</file>

<file path=customXml/itemProps4.xml><?xml version="1.0" encoding="utf-8"?>
<ds:datastoreItem xmlns:ds="http://schemas.openxmlformats.org/officeDocument/2006/customXml" ds:itemID="{F05F8A4E-20C4-4B6A-A93E-BF58D7D70A26}"/>
</file>

<file path=docProps/app.xml><?xml version="1.0" encoding="utf-8"?>
<Properties xmlns="http://schemas.openxmlformats.org/officeDocument/2006/extended-properties" xmlns:vt="http://schemas.openxmlformats.org/officeDocument/2006/docPropsVTypes">
  <Template>Normal.dotm</Template>
  <TotalTime>1</TotalTime>
  <Pages>6</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Higginbotham, Sumner</dc:creator>
  <cp:keywords/>
  <dc:description/>
  <cp:lastModifiedBy>CurtisMR</cp:lastModifiedBy>
  <cp:revision>2</cp:revision>
  <dcterms:created xsi:type="dcterms:W3CDTF">2019-02-26T21:24:00Z</dcterms:created>
  <dcterms:modified xsi:type="dcterms:W3CDTF">2019-02-26T21:24:00Z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